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2FBB81" w14:textId="24BFF747" w:rsidR="00C06E4E" w:rsidRDefault="00C06E4E" w:rsidP="00C06E4E">
      <w:pPr>
        <w:tabs>
          <w:tab w:val="center" w:pos="4536"/>
          <w:tab w:val="right" w:pos="8280"/>
          <w:tab w:val="right" w:pos="9781"/>
        </w:tabs>
        <w:ind w:right="-58"/>
        <w:rPr>
          <w:rFonts w:cs="Arial"/>
          <w:b/>
          <w:bCs/>
          <w:sz w:val="28"/>
        </w:rPr>
      </w:pPr>
      <w:bookmarkStart w:id="0" w:name="_GoBack"/>
      <w:bookmarkEnd w:id="0"/>
      <w:r>
        <w:rPr>
          <w:rFonts w:cs="Arial"/>
          <w:b/>
          <w:bCs/>
          <w:sz w:val="28"/>
        </w:rPr>
        <w:t>3GPP TSG RAN WG1 Meeting #</w:t>
      </w:r>
      <w:r>
        <w:rPr>
          <w:rFonts w:eastAsia="MS Mincho" w:cs="Arial"/>
          <w:b/>
          <w:bCs/>
          <w:sz w:val="28"/>
          <w:lang w:eastAsia="ja-JP"/>
        </w:rPr>
        <w:t>90</w:t>
      </w:r>
      <w:r>
        <w:rPr>
          <w:rFonts w:cs="Arial"/>
          <w:b/>
          <w:bCs/>
          <w:sz w:val="28"/>
        </w:rPr>
        <w:t xml:space="preserve">               </w:t>
      </w:r>
      <w:r>
        <w:rPr>
          <w:rFonts w:eastAsia="MS Mincho" w:cs="Arial"/>
          <w:b/>
          <w:bCs/>
          <w:sz w:val="28"/>
          <w:lang w:eastAsia="ja-JP"/>
        </w:rPr>
        <w:t xml:space="preserve">                             </w:t>
      </w:r>
      <w:r w:rsidR="00E45351">
        <w:rPr>
          <w:rFonts w:cs="Arial"/>
          <w:b/>
          <w:bCs/>
          <w:sz w:val="28"/>
        </w:rPr>
        <w:tab/>
        <w:t>R1-1712708</w:t>
      </w:r>
    </w:p>
    <w:p w14:paraId="0239158A" w14:textId="045D6105" w:rsidR="00C06E4E" w:rsidRDefault="00C06E4E" w:rsidP="00C06E4E">
      <w:pPr>
        <w:tabs>
          <w:tab w:val="center" w:pos="4536"/>
          <w:tab w:val="right" w:pos="9072"/>
        </w:tabs>
        <w:rPr>
          <w:rFonts w:eastAsia="MS Mincho" w:cs="Arial"/>
          <w:b/>
          <w:bCs/>
          <w:sz w:val="28"/>
          <w:lang w:eastAsia="ja-JP"/>
        </w:rPr>
      </w:pPr>
      <w:r>
        <w:rPr>
          <w:rFonts w:eastAsia="MS Mincho" w:cs="Arial"/>
          <w:b/>
          <w:bCs/>
          <w:sz w:val="28"/>
          <w:lang w:eastAsia="ja-JP"/>
        </w:rPr>
        <w:t>Prague</w:t>
      </w:r>
      <w:r>
        <w:rPr>
          <w:rFonts w:cs="Arial"/>
          <w:b/>
          <w:bCs/>
          <w:sz w:val="28"/>
        </w:rPr>
        <w:t xml:space="preserve">, </w:t>
      </w:r>
      <w:r>
        <w:rPr>
          <w:rFonts w:eastAsia="MS Mincho" w:cs="Arial"/>
          <w:b/>
          <w:bCs/>
          <w:sz w:val="28"/>
          <w:lang w:eastAsia="ja-JP"/>
        </w:rPr>
        <w:t>P.R. Czech</w:t>
      </w:r>
      <w:r>
        <w:rPr>
          <w:rFonts w:cs="Arial"/>
          <w:b/>
          <w:bCs/>
          <w:sz w:val="28"/>
        </w:rPr>
        <w:t xml:space="preserve"> </w:t>
      </w:r>
      <w:r>
        <w:rPr>
          <w:rFonts w:eastAsia="MS Mincho" w:cs="Arial"/>
          <w:b/>
          <w:bCs/>
          <w:sz w:val="28"/>
          <w:lang w:eastAsia="ja-JP"/>
        </w:rPr>
        <w:t xml:space="preserve">21th </w:t>
      </w:r>
      <w:r>
        <w:rPr>
          <w:rFonts w:cs="Arial"/>
          <w:b/>
          <w:bCs/>
          <w:sz w:val="28"/>
        </w:rPr>
        <w:t xml:space="preserve">– </w:t>
      </w:r>
      <w:r>
        <w:rPr>
          <w:rFonts w:eastAsia="MS Mincho" w:cs="Arial"/>
          <w:b/>
          <w:bCs/>
          <w:sz w:val="28"/>
          <w:lang w:eastAsia="ja-JP"/>
        </w:rPr>
        <w:t>25th</w:t>
      </w:r>
      <w:r>
        <w:rPr>
          <w:rFonts w:cs="Arial"/>
          <w:b/>
          <w:bCs/>
          <w:sz w:val="28"/>
        </w:rPr>
        <w:t xml:space="preserve"> </w:t>
      </w:r>
      <w:r>
        <w:rPr>
          <w:rFonts w:eastAsia="MS Mincho" w:cs="Arial"/>
          <w:b/>
          <w:bCs/>
          <w:sz w:val="28"/>
          <w:lang w:eastAsia="ja-JP"/>
        </w:rPr>
        <w:t>August</w:t>
      </w:r>
      <w:r>
        <w:rPr>
          <w:rFonts w:cs="Arial"/>
          <w:b/>
          <w:bCs/>
          <w:sz w:val="28"/>
        </w:rPr>
        <w:t xml:space="preserve"> 201</w:t>
      </w:r>
      <w:r>
        <w:rPr>
          <w:rFonts w:eastAsia="MS Mincho" w:cs="Arial"/>
          <w:b/>
          <w:bCs/>
          <w:sz w:val="28"/>
          <w:lang w:eastAsia="ja-JP"/>
        </w:rPr>
        <w:t>7</w:t>
      </w:r>
    </w:p>
    <w:p w14:paraId="153F6BA5" w14:textId="77777777" w:rsidR="0060603E" w:rsidRPr="005D2C51" w:rsidRDefault="0060603E" w:rsidP="0060603E">
      <w:pPr>
        <w:tabs>
          <w:tab w:val="left" w:pos="567"/>
        </w:tabs>
        <w:rPr>
          <w:rStyle w:val="apple-style-span"/>
          <w:rFonts w:cs="Arial"/>
          <w:sz w:val="16"/>
          <w:szCs w:val="16"/>
        </w:rPr>
      </w:pPr>
    </w:p>
    <w:p w14:paraId="3D115269" w14:textId="57106364" w:rsidR="0060603E" w:rsidRPr="00212204" w:rsidRDefault="0060603E" w:rsidP="002D479B">
      <w:pPr>
        <w:ind w:left="1800" w:hanging="1800"/>
        <w:rPr>
          <w:b/>
          <w:sz w:val="24"/>
          <w:szCs w:val="24"/>
        </w:rPr>
      </w:pPr>
      <w:r w:rsidRPr="00212204">
        <w:rPr>
          <w:b/>
          <w:sz w:val="24"/>
          <w:szCs w:val="24"/>
        </w:rPr>
        <w:t>Agenda Item:</w:t>
      </w:r>
      <w:r w:rsidRPr="00F377FF">
        <w:rPr>
          <w:b/>
          <w:sz w:val="24"/>
          <w:szCs w:val="24"/>
        </w:rPr>
        <w:tab/>
      </w:r>
      <w:bookmarkStart w:id="1" w:name="Source"/>
      <w:bookmarkEnd w:id="1"/>
      <w:r w:rsidR="00F56287" w:rsidRPr="00F56287">
        <w:rPr>
          <w:b/>
          <w:sz w:val="24"/>
          <w:szCs w:val="24"/>
        </w:rPr>
        <w:t>6.1.2.1.7</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77777777"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707BF0" w:rsidRPr="00707BF0">
        <w:rPr>
          <w:b/>
          <w:sz w:val="24"/>
          <w:szCs w:val="24"/>
        </w:rPr>
        <w:t xml:space="preserve">On the need of per RE level PDSCH rate-matching and RE mapping </w:t>
      </w:r>
      <w:r w:rsidR="00F148FE" w:rsidRPr="00707BF0">
        <w:rPr>
          <w:b/>
          <w:sz w:val="24"/>
          <w:szCs w:val="24"/>
        </w:rPr>
        <w:t>signaling</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1EAD7B0E" w14:textId="77777777" w:rsidR="008971E9" w:rsidRPr="00233D70" w:rsidRDefault="00C7519D" w:rsidP="00E664F4">
      <w:pPr>
        <w:pStyle w:val="maintext"/>
        <w:ind w:firstLineChars="90" w:firstLine="180"/>
        <w:rPr>
          <w:rFonts w:ascii="Calibri" w:hAnsi="Calibri"/>
        </w:rPr>
      </w:pPr>
      <w:r>
        <w:rPr>
          <w:rFonts w:ascii="Calibri" w:hAnsi="Calibri"/>
        </w:rPr>
        <w:t xml:space="preserve">In this paper, we give our view in supporting of per RE level PDSCH rate-matching and RE mapping for NR-PDSCH. </w:t>
      </w:r>
      <w:r w:rsidR="00BB1877">
        <w:rPr>
          <w:rFonts w:ascii="Calibri" w:hAnsi="Calibri"/>
        </w:rPr>
        <w:t xml:space="preserve">In particular, we proposed a two level of signalling. Using RRC signalling to configure N RE mapping patterns in the granularity of each RE, and use DCI to dynamic select one pattern to be used in current PDSCH. </w:t>
      </w:r>
    </w:p>
    <w:p w14:paraId="00568109" w14:textId="77777777" w:rsidR="007A2765" w:rsidRPr="00172743" w:rsidRDefault="0075260C" w:rsidP="0075260C">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pPr>
      <w:r>
        <w:rPr>
          <w:rFonts w:eastAsia="SimSun"/>
          <w:b w:val="0"/>
          <w:sz w:val="36"/>
          <w:lang w:val="en-GB"/>
        </w:rPr>
        <w:t xml:space="preserve">PDSCH Rate Matching and RE mapping design </w:t>
      </w:r>
      <w:r w:rsidR="008E7BE4">
        <w:rPr>
          <w:rFonts w:eastAsia="SimSun"/>
          <w:b w:val="0"/>
          <w:sz w:val="36"/>
          <w:lang w:val="en-GB"/>
        </w:rPr>
        <w:t>must</w:t>
      </w:r>
      <w:r>
        <w:rPr>
          <w:rFonts w:eastAsia="SimSun"/>
          <w:b w:val="0"/>
          <w:sz w:val="36"/>
          <w:lang w:val="en-GB"/>
        </w:rPr>
        <w:t xml:space="preserve"> be forward looking. </w:t>
      </w:r>
    </w:p>
    <w:p w14:paraId="11A0EB8C" w14:textId="77777777" w:rsidR="00C7519D" w:rsidRDefault="00C7519D" w:rsidP="0054616C">
      <w:pPr>
        <w:pStyle w:val="maintext"/>
        <w:ind w:firstLineChars="90" w:firstLine="180"/>
        <w:rPr>
          <w:rFonts w:ascii="Calibri" w:hAnsi="Calibri"/>
        </w:rPr>
      </w:pPr>
    </w:p>
    <w:p w14:paraId="657912F4" w14:textId="77777777" w:rsidR="00C7519D" w:rsidRDefault="00C7519D" w:rsidP="00C7519D">
      <w:pPr>
        <w:pStyle w:val="maintext"/>
        <w:ind w:firstLineChars="90" w:firstLine="180"/>
        <w:rPr>
          <w:rFonts w:ascii="Calibri" w:hAnsi="Calibri"/>
        </w:rPr>
      </w:pPr>
      <w:r>
        <w:rPr>
          <w:rFonts w:ascii="Calibri" w:hAnsi="Calibri"/>
        </w:rPr>
        <w:t xml:space="preserve">One of the most crucial aspects for the first release of a new radio interface is the consideration of forward compatibility. The first release of LTE, for example, specified MBSFN subframes even though the MBMS feature itself was not specified until a later release. MBSFN subframes are broadcasted in the system information and are configured for all UEs of all LTE releases. They have proven a powerful tool for forward compatibility beyond the introduction of MBMS services. For example, MBSFN subframes have been used to create almost blank resources in Rel. 10 eICIC in a backward compatible manner. </w:t>
      </w:r>
    </w:p>
    <w:p w14:paraId="70D91294" w14:textId="77777777" w:rsidR="00C7519D" w:rsidRDefault="00C7519D" w:rsidP="00C7519D">
      <w:pPr>
        <w:pStyle w:val="maintext"/>
        <w:ind w:firstLineChars="90" w:firstLine="180"/>
        <w:rPr>
          <w:rFonts w:ascii="Calibri" w:hAnsi="Calibri"/>
        </w:rPr>
      </w:pPr>
      <w:r>
        <w:rPr>
          <w:rFonts w:ascii="Calibri" w:hAnsi="Calibri"/>
        </w:rPr>
        <w:t xml:space="preserve">In NR, utmost care thus needs to be taken with regard to forward compatibility. In fact, forward compatibility should not only be ensured for services we know will be supported by 5G—similar to the case of MBMS in LTE Release 8—even for services that are yet unknown the air interface should provision the necessary means to introduce them in future releases without significant impact on legacy operations. </w:t>
      </w:r>
    </w:p>
    <w:p w14:paraId="52AAB86B" w14:textId="77777777" w:rsidR="00C7519D" w:rsidRDefault="00C7519D" w:rsidP="00C7519D">
      <w:pPr>
        <w:pStyle w:val="maintext"/>
        <w:ind w:firstLineChars="90" w:firstLine="180"/>
        <w:rPr>
          <w:rFonts w:ascii="Calibri" w:hAnsi="Calibri"/>
        </w:rPr>
      </w:pPr>
      <w:r>
        <w:rPr>
          <w:rFonts w:ascii="Calibri" w:hAnsi="Calibri"/>
        </w:rPr>
        <w:t xml:space="preserve">In addition to being able to multiplex new services in either the time or frequency domain into the NR frame structure, forward compatibility with respect to new reference signals ought to be considered. For example, LTE did not provision any means for the introduction of CSI-RS in LTE Rel. 10 without impacting performance of legacy decides. </w:t>
      </w:r>
      <w:r w:rsidR="009F0907">
        <w:rPr>
          <w:rFonts w:ascii="Calibri" w:hAnsi="Calibri"/>
        </w:rPr>
        <w:t xml:space="preserve">In order to avoid such limitation happen again in the future release of NR, we propose to support PDSCH RE mapping and rate-match </w:t>
      </w:r>
      <w:r w:rsidR="00434AB2">
        <w:rPr>
          <w:rFonts w:ascii="Calibri" w:hAnsi="Calibri"/>
        </w:rPr>
        <w:t xml:space="preserve">in the granularity of RE level.  </w:t>
      </w:r>
    </w:p>
    <w:p w14:paraId="7A71B610" w14:textId="77777777" w:rsidR="00C7519D" w:rsidRDefault="004E55E0" w:rsidP="00C7519D">
      <w:pPr>
        <w:pStyle w:val="maintext"/>
        <w:ind w:firstLineChars="90" w:firstLine="180"/>
        <w:rPr>
          <w:rFonts w:ascii="Calibri" w:hAnsi="Calibri"/>
          <w:b/>
        </w:rPr>
      </w:pPr>
      <w:r w:rsidRPr="00291016">
        <w:rPr>
          <w:rFonts w:ascii="Calibri" w:hAnsi="Calibri"/>
          <w:b/>
        </w:rPr>
        <w:t>Proposal: PDSCH RE mapping signalling should support per RE level granularity</w:t>
      </w:r>
    </w:p>
    <w:p w14:paraId="776271CE" w14:textId="77777777" w:rsidR="00297995" w:rsidRPr="00297995" w:rsidRDefault="003015F7" w:rsidP="0029799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297995">
        <w:rPr>
          <w:rFonts w:eastAsia="SimSun"/>
          <w:b w:val="0"/>
          <w:sz w:val="36"/>
          <w:lang w:val="en-GB"/>
        </w:rPr>
        <w:t>Signalling</w:t>
      </w:r>
      <w:r w:rsidR="00297995" w:rsidRPr="00297995">
        <w:rPr>
          <w:rFonts w:eastAsia="SimSun"/>
          <w:b w:val="0"/>
          <w:sz w:val="36"/>
          <w:lang w:val="en-GB"/>
        </w:rPr>
        <w:t xml:space="preserve"> </w:t>
      </w:r>
      <w:r w:rsidR="00695822">
        <w:rPr>
          <w:rFonts w:eastAsia="SimSun"/>
          <w:b w:val="0"/>
          <w:sz w:val="36"/>
          <w:lang w:val="en-GB"/>
        </w:rPr>
        <w:t>Framework</w:t>
      </w:r>
    </w:p>
    <w:p w14:paraId="16B4DE8E" w14:textId="77777777" w:rsidR="004E55E0" w:rsidRDefault="004E55E0" w:rsidP="00C7519D">
      <w:pPr>
        <w:pStyle w:val="maintext"/>
        <w:ind w:firstLineChars="90" w:firstLine="180"/>
        <w:rPr>
          <w:rFonts w:ascii="Calibri" w:hAnsi="Calibri"/>
        </w:rPr>
      </w:pPr>
    </w:p>
    <w:p w14:paraId="33CAA4A9" w14:textId="77777777" w:rsidR="0054616C" w:rsidRDefault="0054616C" w:rsidP="0054616C">
      <w:pPr>
        <w:pStyle w:val="maintext"/>
        <w:ind w:firstLineChars="90" w:firstLine="180"/>
        <w:rPr>
          <w:rFonts w:ascii="Calibri" w:hAnsi="Calibri"/>
        </w:rPr>
      </w:pPr>
      <w:r>
        <w:rPr>
          <w:rFonts w:ascii="Calibri" w:hAnsi="Calibri"/>
        </w:rPr>
        <w:t xml:space="preserve">In Release 11, a new transmission mode was introduced for LTE, namely, TM10. TM10 allows the eNB to signal in the “PDSCH RE Mapping and Quasi-Co-Location Indicator” (PQI) field of DCI format 2D the RE mapping pattern for the associated </w:t>
      </w:r>
      <w:r>
        <w:rPr>
          <w:rFonts w:ascii="Calibri" w:hAnsi="Calibri"/>
        </w:rPr>
        <w:lastRenderedPageBreak/>
        <w:t>PDSCH. Two bits allow the eNB to choose from four parameter sets that are RRC configured. In particular, the RE mapping pattern for a given parameter set is implicitly derived from the following parameters:</w:t>
      </w:r>
    </w:p>
    <w:p w14:paraId="001BAE48" w14:textId="77777777" w:rsidR="0054616C" w:rsidRDefault="0054616C" w:rsidP="0054616C">
      <w:pPr>
        <w:pStyle w:val="B1"/>
        <w:numPr>
          <w:ilvl w:val="0"/>
          <w:numId w:val="40"/>
        </w:numPr>
        <w:textAlignment w:val="auto"/>
        <w:rPr>
          <w:iCs/>
          <w:lang w:val="en-US" w:eastAsia="ja-JP"/>
        </w:rPr>
      </w:pPr>
      <w:r>
        <w:t>crs-PortsCount-r11</w:t>
      </w:r>
      <w:r>
        <w:rPr>
          <w:iCs/>
          <w:lang w:val="en-US" w:eastAsia="ja-JP"/>
        </w:rPr>
        <w:t>.</w:t>
      </w:r>
      <w:r>
        <w:t xml:space="preserve"> </w:t>
      </w:r>
    </w:p>
    <w:p w14:paraId="40F9AD30" w14:textId="77777777" w:rsidR="0054616C" w:rsidRDefault="0054616C" w:rsidP="0054616C">
      <w:pPr>
        <w:pStyle w:val="B1"/>
        <w:numPr>
          <w:ilvl w:val="0"/>
          <w:numId w:val="40"/>
        </w:numPr>
        <w:textAlignment w:val="auto"/>
        <w:rPr>
          <w:iCs/>
          <w:lang w:val="en-US" w:eastAsia="ja-JP"/>
        </w:rPr>
      </w:pPr>
      <w:r>
        <w:t xml:space="preserve">crs-FreqShift-r11. </w:t>
      </w:r>
    </w:p>
    <w:p w14:paraId="4575EAA6" w14:textId="77777777" w:rsidR="0054616C" w:rsidRDefault="0054616C" w:rsidP="0054616C">
      <w:pPr>
        <w:pStyle w:val="B1"/>
        <w:numPr>
          <w:ilvl w:val="0"/>
          <w:numId w:val="40"/>
        </w:numPr>
        <w:textAlignment w:val="auto"/>
        <w:rPr>
          <w:iCs/>
          <w:lang w:val="en-US" w:eastAsia="ja-JP"/>
        </w:rPr>
      </w:pPr>
      <w:r>
        <w:t>mbsfn-SubframeConfigList-r11</w:t>
      </w:r>
      <w:r>
        <w:rPr>
          <w:rFonts w:ascii="Times" w:eastAsia="Batang" w:hAnsi="Times"/>
          <w:szCs w:val="24"/>
        </w:rPr>
        <w:t>.</w:t>
      </w:r>
    </w:p>
    <w:p w14:paraId="57B7ACDB" w14:textId="77777777" w:rsidR="0054616C" w:rsidRDefault="0054616C" w:rsidP="0054616C">
      <w:pPr>
        <w:pStyle w:val="B1"/>
        <w:numPr>
          <w:ilvl w:val="0"/>
          <w:numId w:val="40"/>
        </w:numPr>
        <w:textAlignment w:val="auto"/>
        <w:rPr>
          <w:iCs/>
          <w:lang w:val="en-US" w:eastAsia="ja-JP"/>
        </w:rPr>
      </w:pPr>
      <w:r>
        <w:t>csi-RS-ConfigZPId-r11.</w:t>
      </w:r>
    </w:p>
    <w:p w14:paraId="3C6F437F" w14:textId="77777777" w:rsidR="0054616C" w:rsidRDefault="0054616C" w:rsidP="0054616C">
      <w:pPr>
        <w:pStyle w:val="B1"/>
        <w:numPr>
          <w:ilvl w:val="0"/>
          <w:numId w:val="40"/>
        </w:numPr>
        <w:textAlignment w:val="auto"/>
        <w:rPr>
          <w:iCs/>
          <w:lang w:val="en-US" w:eastAsia="ja-JP"/>
        </w:rPr>
      </w:pPr>
      <w:r>
        <w:t>pdsch-Start-r11</w:t>
      </w:r>
      <w:r>
        <w:rPr>
          <w:rFonts w:ascii="Times" w:eastAsia="Batang" w:hAnsi="Times"/>
          <w:szCs w:val="24"/>
        </w:rPr>
        <w:t>.</w:t>
      </w:r>
    </w:p>
    <w:p w14:paraId="137D353B" w14:textId="77777777" w:rsidR="0054616C" w:rsidRDefault="0054616C" w:rsidP="0054616C">
      <w:pPr>
        <w:pStyle w:val="B1"/>
        <w:numPr>
          <w:ilvl w:val="0"/>
          <w:numId w:val="40"/>
        </w:numPr>
        <w:textAlignment w:val="auto"/>
        <w:rPr>
          <w:rFonts w:eastAsia="Times New Roman"/>
          <w:lang w:eastAsia="en-GB"/>
        </w:rPr>
      </w:pPr>
      <w:r>
        <w:t xml:space="preserve">qcl-CSI-RS-ConfigNZPId-r11. </w:t>
      </w:r>
    </w:p>
    <w:p w14:paraId="456FE6F5" w14:textId="77777777" w:rsidR="0054616C" w:rsidRDefault="0054616C" w:rsidP="0054616C">
      <w:pPr>
        <w:pStyle w:val="B1"/>
        <w:numPr>
          <w:ilvl w:val="0"/>
          <w:numId w:val="40"/>
        </w:numPr>
        <w:textAlignment w:val="auto"/>
      </w:pPr>
      <w:r>
        <w:t>zeroTxPowerCSI-RS2-r12 (conditional)</w:t>
      </w:r>
    </w:p>
    <w:p w14:paraId="70FC2CA1" w14:textId="77777777" w:rsidR="003015F7" w:rsidRDefault="0054616C" w:rsidP="0054616C">
      <w:pPr>
        <w:pStyle w:val="maintext"/>
        <w:ind w:firstLineChars="90" w:firstLine="180"/>
        <w:rPr>
          <w:rFonts w:ascii="Calibri" w:hAnsi="Calibri"/>
        </w:rPr>
      </w:pPr>
      <w:r>
        <w:rPr>
          <w:rFonts w:ascii="Calibri" w:hAnsi="Calibri"/>
        </w:rPr>
        <w:t xml:space="preserve">A similar design (RRC based semi-static configuration and DCI based dynamic selection) can be applied to the NR system. </w:t>
      </w:r>
      <w:r w:rsidR="003015F7">
        <w:rPr>
          <w:rFonts w:ascii="Calibri" w:hAnsi="Calibri"/>
        </w:rPr>
        <w:t xml:space="preserve">More specifically, RRC signalling can configure multiple PDSCH RE mapping patterns and DCI can select one out of configured patterns. </w:t>
      </w:r>
    </w:p>
    <w:p w14:paraId="1548FE59" w14:textId="77777777" w:rsidR="003015F7" w:rsidRPr="00D12AF3" w:rsidRDefault="003015F7" w:rsidP="0054616C">
      <w:pPr>
        <w:pStyle w:val="maintext"/>
        <w:ind w:firstLineChars="90" w:firstLine="180"/>
        <w:rPr>
          <w:rFonts w:ascii="Calibri" w:hAnsi="Calibri"/>
          <w:b/>
        </w:rPr>
      </w:pPr>
      <w:r w:rsidRPr="00D12AF3">
        <w:rPr>
          <w:rFonts w:ascii="Calibri" w:hAnsi="Calibri"/>
          <w:b/>
        </w:rPr>
        <w:t xml:space="preserve">Proposal: Adopt two level signalling </w:t>
      </w:r>
      <w:r w:rsidR="001D1CD8">
        <w:rPr>
          <w:rFonts w:ascii="Calibri" w:hAnsi="Calibri"/>
          <w:b/>
        </w:rPr>
        <w:t xml:space="preserve">framework </w:t>
      </w:r>
      <w:r w:rsidRPr="00D12AF3">
        <w:rPr>
          <w:rFonts w:ascii="Calibri" w:hAnsi="Calibri"/>
          <w:b/>
        </w:rPr>
        <w:t>for PDSCH RE mapping</w:t>
      </w:r>
      <w:r w:rsidR="001D1CD8">
        <w:rPr>
          <w:rFonts w:ascii="Calibri" w:hAnsi="Calibri"/>
          <w:b/>
        </w:rPr>
        <w:t xml:space="preserve"> (similar to LTE)</w:t>
      </w:r>
      <w:r w:rsidRPr="00D12AF3">
        <w:rPr>
          <w:rFonts w:ascii="Calibri" w:hAnsi="Calibri"/>
          <w:b/>
        </w:rPr>
        <w:t xml:space="preserve">: RRC signalling to configure multiple mapping patterns and DCI to select one for current PDSCH. </w:t>
      </w:r>
    </w:p>
    <w:p w14:paraId="2C525880" w14:textId="77777777" w:rsidR="003015F7" w:rsidRDefault="003015F7" w:rsidP="009633A9">
      <w:pPr>
        <w:pStyle w:val="maintext"/>
        <w:ind w:firstLineChars="0" w:firstLine="0"/>
        <w:rPr>
          <w:rFonts w:ascii="Calibri" w:hAnsi="Calibri"/>
        </w:rPr>
      </w:pPr>
    </w:p>
    <w:p w14:paraId="6E19FADE" w14:textId="77777777" w:rsidR="009633A9" w:rsidRPr="009633A9" w:rsidRDefault="000821CE" w:rsidP="009633A9">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 xml:space="preserve">RRC </w:t>
      </w:r>
      <w:r w:rsidR="009633A9" w:rsidRPr="009633A9">
        <w:rPr>
          <w:rFonts w:eastAsia="SimSun"/>
          <w:b w:val="0"/>
          <w:sz w:val="36"/>
          <w:lang w:val="en-GB"/>
        </w:rPr>
        <w:t>Signalling</w:t>
      </w:r>
      <w:r w:rsidR="002001F1">
        <w:rPr>
          <w:rFonts w:eastAsia="SimSun"/>
          <w:b w:val="0"/>
          <w:sz w:val="36"/>
          <w:lang w:val="en-GB"/>
        </w:rPr>
        <w:t xml:space="preserve"> details</w:t>
      </w:r>
    </w:p>
    <w:p w14:paraId="75BA04B7" w14:textId="77777777" w:rsidR="00021782" w:rsidRDefault="00024D8F" w:rsidP="00024D8F">
      <w:pPr>
        <w:pStyle w:val="maintext"/>
        <w:ind w:firstLineChars="90" w:firstLine="180"/>
        <w:rPr>
          <w:rFonts w:ascii="Calibri" w:hAnsi="Calibri"/>
        </w:rPr>
      </w:pPr>
      <w:r>
        <w:rPr>
          <w:rFonts w:ascii="Calibri" w:hAnsi="Calibri"/>
        </w:rPr>
        <w:t xml:space="preserve">By RRC signalling, UE can be configured with multiple PDSCH RE mapping pattern, the RRC signalling of each pattern includes the following: </w:t>
      </w:r>
    </w:p>
    <w:p w14:paraId="7C53DA3C" w14:textId="77777777" w:rsidR="00021782" w:rsidRPr="00B801DE" w:rsidRDefault="00AA12FA" w:rsidP="00021782">
      <w:pPr>
        <w:pStyle w:val="ListParagraph"/>
        <w:keepNext/>
        <w:numPr>
          <w:ilvl w:val="0"/>
          <w:numId w:val="43"/>
        </w:numPr>
        <w:spacing w:before="0" w:after="200" w:line="276" w:lineRule="auto"/>
        <w:jc w:val="left"/>
        <w:rPr>
          <w:rFonts w:ascii="Calibri" w:hAnsi="Calibri" w:cs="Arial"/>
        </w:rPr>
      </w:pPr>
      <w:r w:rsidRPr="00B801DE">
        <w:rPr>
          <w:rFonts w:ascii="Calibri" w:hAnsi="Calibri" w:cs="Arial"/>
        </w:rPr>
        <w:t>T</w:t>
      </w:r>
      <w:r w:rsidR="00021782" w:rsidRPr="00B801DE">
        <w:rPr>
          <w:rFonts w:ascii="Calibri" w:hAnsi="Calibri" w:cs="Arial"/>
        </w:rPr>
        <w:t xml:space="preserve">he configuration of </w:t>
      </w:r>
      <w:r w:rsidR="00383782" w:rsidRPr="00B801DE">
        <w:rPr>
          <w:rFonts w:ascii="Calibri" w:hAnsi="Calibri" w:cs="Arial"/>
        </w:rPr>
        <w:t xml:space="preserve">some </w:t>
      </w:r>
      <w:r w:rsidR="00021782" w:rsidRPr="00B801DE">
        <w:rPr>
          <w:rFonts w:ascii="Calibri" w:hAnsi="Calibri" w:cs="Arial"/>
        </w:rPr>
        <w:t>RS/channels</w:t>
      </w:r>
      <w:r w:rsidR="00D81533" w:rsidRPr="00B801DE">
        <w:rPr>
          <w:rFonts w:ascii="Calibri" w:hAnsi="Calibri" w:cs="Arial"/>
        </w:rPr>
        <w:t xml:space="preserve"> that</w:t>
      </w:r>
      <w:r w:rsidR="00DE7711" w:rsidRPr="00B801DE">
        <w:rPr>
          <w:rFonts w:ascii="Calibri" w:hAnsi="Calibri" w:cs="Arial"/>
        </w:rPr>
        <w:t xml:space="preserve"> PDSCH RE mapping should avoid, below are examples:</w:t>
      </w:r>
    </w:p>
    <w:p w14:paraId="627D769F" w14:textId="77777777" w:rsidR="00021782" w:rsidRPr="00B801DE" w:rsidRDefault="00021782" w:rsidP="00021782">
      <w:pPr>
        <w:pStyle w:val="ListParagraph"/>
        <w:keepNext/>
        <w:numPr>
          <w:ilvl w:val="1"/>
          <w:numId w:val="43"/>
        </w:numPr>
        <w:spacing w:before="0" w:after="200" w:line="276" w:lineRule="auto"/>
        <w:jc w:val="left"/>
        <w:rPr>
          <w:rFonts w:ascii="Calibri" w:hAnsi="Calibri" w:cs="Arial"/>
        </w:rPr>
      </w:pPr>
      <w:r w:rsidRPr="00B801DE">
        <w:rPr>
          <w:rFonts w:ascii="Calibri" w:hAnsi="Calibri" w:cs="Arial"/>
        </w:rPr>
        <w:t xml:space="preserve">NR CORESET configurations </w:t>
      </w:r>
    </w:p>
    <w:p w14:paraId="023CAF58" w14:textId="77777777" w:rsidR="00021782" w:rsidRPr="00B801DE" w:rsidRDefault="00021782" w:rsidP="00021782">
      <w:pPr>
        <w:pStyle w:val="ListParagraph"/>
        <w:keepNext/>
        <w:numPr>
          <w:ilvl w:val="1"/>
          <w:numId w:val="43"/>
        </w:numPr>
        <w:spacing w:before="0" w:after="200" w:line="276" w:lineRule="auto"/>
        <w:jc w:val="left"/>
        <w:rPr>
          <w:rFonts w:ascii="Calibri" w:hAnsi="Calibri" w:cs="Arial"/>
        </w:rPr>
      </w:pPr>
      <w:r w:rsidRPr="00B801DE">
        <w:rPr>
          <w:rFonts w:ascii="Calibri" w:hAnsi="Calibri" w:cs="Arial"/>
        </w:rPr>
        <w:t xml:space="preserve">NR CSI-RS configurations </w:t>
      </w:r>
    </w:p>
    <w:p w14:paraId="6D1F86ED" w14:textId="77777777" w:rsidR="00021782" w:rsidRPr="00B801DE" w:rsidRDefault="00021782" w:rsidP="00021782">
      <w:pPr>
        <w:pStyle w:val="ListParagraph"/>
        <w:keepNext/>
        <w:numPr>
          <w:ilvl w:val="1"/>
          <w:numId w:val="43"/>
        </w:numPr>
        <w:spacing w:before="0" w:after="200" w:line="276" w:lineRule="auto"/>
        <w:jc w:val="left"/>
        <w:rPr>
          <w:rFonts w:ascii="Calibri" w:hAnsi="Calibri" w:cs="Arial"/>
        </w:rPr>
      </w:pPr>
      <w:r w:rsidRPr="00B801DE">
        <w:rPr>
          <w:rFonts w:ascii="Calibri" w:hAnsi="Calibri" w:cs="Arial"/>
        </w:rPr>
        <w:t>NR PDSCH starting symbols</w:t>
      </w:r>
    </w:p>
    <w:p w14:paraId="6D8828A2" w14:textId="5E37395B" w:rsidR="00021782" w:rsidRDefault="00021782" w:rsidP="00021782">
      <w:pPr>
        <w:pStyle w:val="ListParagraph"/>
        <w:keepNext/>
        <w:numPr>
          <w:ilvl w:val="1"/>
          <w:numId w:val="43"/>
        </w:numPr>
        <w:spacing w:before="0" w:after="200" w:line="276" w:lineRule="auto"/>
        <w:jc w:val="left"/>
        <w:rPr>
          <w:rFonts w:ascii="Calibri" w:hAnsi="Calibri" w:cs="Arial"/>
        </w:rPr>
      </w:pPr>
      <w:r w:rsidRPr="00B801DE">
        <w:rPr>
          <w:rFonts w:ascii="Calibri" w:hAnsi="Calibri" w:cs="Arial"/>
        </w:rPr>
        <w:t xml:space="preserve">NR PDSCH ending symbols </w:t>
      </w:r>
    </w:p>
    <w:p w14:paraId="5D53E0AD" w14:textId="5855F06D" w:rsidR="00021782" w:rsidRPr="00B801DE" w:rsidRDefault="00D83A71" w:rsidP="00021782">
      <w:pPr>
        <w:pStyle w:val="ListParagraph"/>
        <w:keepNext/>
        <w:numPr>
          <w:ilvl w:val="0"/>
          <w:numId w:val="43"/>
        </w:numPr>
        <w:spacing w:before="0" w:after="200" w:line="276" w:lineRule="auto"/>
        <w:jc w:val="left"/>
        <w:rPr>
          <w:rFonts w:ascii="Calibri" w:hAnsi="Calibri" w:cs="Arial"/>
        </w:rPr>
      </w:pPr>
      <w:r>
        <w:rPr>
          <w:rFonts w:ascii="Calibri" w:hAnsi="Calibri" w:cs="Arial"/>
        </w:rPr>
        <w:t>Per RE level mapping pattern, with the following example signaling:</w:t>
      </w:r>
    </w:p>
    <w:p w14:paraId="75DF3B24" w14:textId="49942CC1" w:rsidR="00021782" w:rsidRPr="00B801DE" w:rsidRDefault="00D83A71" w:rsidP="00B801DE">
      <w:pPr>
        <w:pStyle w:val="ListParagraph"/>
        <w:keepNext/>
        <w:numPr>
          <w:ilvl w:val="1"/>
          <w:numId w:val="43"/>
        </w:numPr>
        <w:spacing w:before="0" w:after="200" w:line="276" w:lineRule="auto"/>
        <w:jc w:val="left"/>
        <w:rPr>
          <w:rFonts w:ascii="Calibri" w:hAnsi="Calibri" w:cs="Arial"/>
        </w:rPr>
      </w:pPr>
      <w:r>
        <w:rPr>
          <w:rFonts w:ascii="Calibri" w:hAnsi="Calibri" w:cs="Arial"/>
        </w:rPr>
        <w:t>One</w:t>
      </w:r>
      <w:r w:rsidR="00283961" w:rsidRPr="00B801DE">
        <w:rPr>
          <w:rFonts w:ascii="Calibri" w:hAnsi="Calibri" w:cs="Arial"/>
        </w:rPr>
        <w:t xml:space="preserve"> bitmap where e</w:t>
      </w:r>
      <w:r w:rsidR="00021782" w:rsidRPr="00B801DE">
        <w:rPr>
          <w:rFonts w:ascii="Calibri" w:hAnsi="Calibri" w:cs="Arial"/>
        </w:rPr>
        <w:t>ach bit represent one RE</w:t>
      </w:r>
      <w:r w:rsidR="008F1DE1" w:rsidRPr="00B801DE">
        <w:rPr>
          <w:rFonts w:ascii="Calibri" w:hAnsi="Calibri" w:cs="Arial"/>
        </w:rPr>
        <w:t xml:space="preserve">. </w:t>
      </w:r>
      <w:r w:rsidR="00E86E4D" w:rsidRPr="00E86E4D">
        <w:rPr>
          <w:rFonts w:ascii="Calibri" w:hAnsi="Calibri"/>
        </w:rPr>
        <w:t>(e.g., 12 subcarrier x 14 OFDM symbols)</w:t>
      </w:r>
      <w:r w:rsidR="00D330A2" w:rsidRPr="00B801DE">
        <w:rPr>
          <w:rFonts w:ascii="Calibri" w:hAnsi="Calibri" w:cs="Arial"/>
        </w:rPr>
        <w:t xml:space="preserve"> </w:t>
      </w:r>
    </w:p>
    <w:p w14:paraId="0FECBC4F" w14:textId="2C2C0B45" w:rsidR="00021782" w:rsidRDefault="00D83A71" w:rsidP="00021782">
      <w:pPr>
        <w:pStyle w:val="ListParagraph"/>
        <w:keepNext/>
        <w:numPr>
          <w:ilvl w:val="1"/>
          <w:numId w:val="43"/>
        </w:numPr>
        <w:spacing w:before="0" w:after="200" w:line="276" w:lineRule="auto"/>
        <w:jc w:val="left"/>
        <w:rPr>
          <w:rFonts w:ascii="Calibri" w:hAnsi="Calibri" w:cs="Arial"/>
        </w:rPr>
      </w:pPr>
      <w:r>
        <w:rPr>
          <w:rFonts w:ascii="Calibri" w:hAnsi="Calibri" w:cs="Arial"/>
        </w:rPr>
        <w:t>Two bitmap to indicate the RE mapping (one bitmap in time domain and one in frequency domain, see section-5 for more details)</w:t>
      </w:r>
    </w:p>
    <w:p w14:paraId="0800C94B" w14:textId="77777777" w:rsidR="003F3579" w:rsidRDefault="003F3579" w:rsidP="003F3579">
      <w:pPr>
        <w:pStyle w:val="ListParagraph"/>
        <w:keepNext/>
        <w:numPr>
          <w:ilvl w:val="1"/>
          <w:numId w:val="43"/>
        </w:numPr>
        <w:spacing w:before="0" w:after="200" w:line="276" w:lineRule="auto"/>
        <w:jc w:val="left"/>
        <w:rPr>
          <w:rFonts w:ascii="Calibri" w:hAnsi="Calibri" w:cs="Arial"/>
        </w:rPr>
      </w:pPr>
      <w:r w:rsidRPr="003F3579">
        <w:rPr>
          <w:rFonts w:ascii="Calibri" w:hAnsi="Calibri" w:cs="Arial"/>
        </w:rPr>
        <w:t xml:space="preserve">If included in the RRC signaling, this </w:t>
      </w:r>
      <w:r>
        <w:rPr>
          <w:rFonts w:ascii="Calibri" w:hAnsi="Calibri" w:cs="Arial"/>
        </w:rPr>
        <w:t xml:space="preserve">bitmap will overwrite the configuration from step-1. </w:t>
      </w:r>
    </w:p>
    <w:p w14:paraId="04C7559F" w14:textId="1CCDD9B7" w:rsidR="00372F4C" w:rsidRPr="00A244B9" w:rsidRDefault="00372F4C" w:rsidP="00A244B9">
      <w:pPr>
        <w:pStyle w:val="ListParagraph"/>
        <w:keepNext/>
        <w:numPr>
          <w:ilvl w:val="0"/>
          <w:numId w:val="43"/>
        </w:numPr>
        <w:spacing w:before="0" w:after="200" w:line="276" w:lineRule="auto"/>
        <w:jc w:val="left"/>
        <w:rPr>
          <w:rFonts w:ascii="Calibri" w:hAnsi="Calibri" w:cs="Arial"/>
        </w:rPr>
      </w:pPr>
      <w:r>
        <w:rPr>
          <w:rFonts w:ascii="Calibri" w:hAnsi="Calibri" w:cs="Arial"/>
        </w:rPr>
        <w:t>Optionally, subband information can be included to indicate which subband the reserved resource applied.</w:t>
      </w:r>
    </w:p>
    <w:p w14:paraId="3E4C54C2" w14:textId="31BA1BC0" w:rsidR="003A52ED" w:rsidRDefault="00D330A2" w:rsidP="0054616C">
      <w:pPr>
        <w:pStyle w:val="maintext"/>
        <w:ind w:firstLineChars="90" w:firstLine="180"/>
        <w:rPr>
          <w:rFonts w:ascii="Calibri" w:hAnsi="Calibri"/>
        </w:rPr>
      </w:pPr>
      <w:r>
        <w:rPr>
          <w:rFonts w:ascii="Calibri" w:hAnsi="Calibri"/>
        </w:rPr>
        <w:t xml:space="preserve">Signalling-2 and 3 are optional information in RRC signalling which means they may not be included to save overhead. This is mainly for the use case where forward looking RE mapping is not yet used. In that case, </w:t>
      </w:r>
      <w:r w:rsidR="00244175">
        <w:rPr>
          <w:rFonts w:ascii="Calibri" w:hAnsi="Calibri"/>
        </w:rPr>
        <w:t xml:space="preserve">there is no signalling overhead. </w:t>
      </w:r>
    </w:p>
    <w:p w14:paraId="3EADEF17" w14:textId="1A46B43E" w:rsidR="00244175" w:rsidRPr="00244175" w:rsidRDefault="00E37838" w:rsidP="0024417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Compact</w:t>
      </w:r>
      <w:r w:rsidR="00244175">
        <w:rPr>
          <w:rFonts w:eastAsia="SimSun"/>
          <w:b w:val="0"/>
          <w:sz w:val="36"/>
          <w:lang w:val="en-GB"/>
        </w:rPr>
        <w:t xml:space="preserve"> </w:t>
      </w:r>
      <w:r w:rsidR="00244175" w:rsidRPr="00244175">
        <w:rPr>
          <w:rFonts w:eastAsia="SimSun"/>
          <w:b w:val="0"/>
          <w:sz w:val="36"/>
          <w:lang w:val="en-GB"/>
        </w:rPr>
        <w:t xml:space="preserve">signalling for reserved resource. </w:t>
      </w:r>
    </w:p>
    <w:p w14:paraId="606F369E" w14:textId="294B82CC" w:rsidR="00244175" w:rsidRDefault="00106F62" w:rsidP="00244175">
      <w:pPr>
        <w:pStyle w:val="maintext"/>
        <w:ind w:firstLineChars="0" w:firstLine="0"/>
        <w:rPr>
          <w:rFonts w:ascii="Calibri" w:hAnsi="Calibri"/>
        </w:rPr>
      </w:pPr>
      <w:r>
        <w:rPr>
          <w:rFonts w:ascii="Calibri" w:hAnsi="Calibri"/>
        </w:rPr>
        <w:t xml:space="preserve">Clearly 2a </w:t>
      </w:r>
      <w:r w:rsidR="00CD192C">
        <w:rPr>
          <w:rFonts w:ascii="Calibri" w:hAnsi="Calibri"/>
        </w:rPr>
        <w:t xml:space="preserve">in section-4 </w:t>
      </w:r>
      <w:r>
        <w:rPr>
          <w:rFonts w:ascii="Calibri" w:hAnsi="Calibri"/>
        </w:rPr>
        <w:t xml:space="preserve">will result large signalling overhead: </w:t>
      </w:r>
      <w:r w:rsidR="00244175">
        <w:rPr>
          <w:rFonts w:ascii="Calibri" w:hAnsi="Calibri"/>
        </w:rPr>
        <w:t>for a 12 subcarrier x 14 OFDM symbols, 168 bits is needed for per RE granularity</w:t>
      </w:r>
      <w:r w:rsidR="00CD192C">
        <w:rPr>
          <w:rFonts w:ascii="Calibri" w:hAnsi="Calibri"/>
        </w:rPr>
        <w:t xml:space="preserve">. Instead of using one </w:t>
      </w:r>
      <w:r w:rsidR="003B2F27">
        <w:rPr>
          <w:rFonts w:ascii="Calibri" w:hAnsi="Calibri"/>
        </w:rPr>
        <w:t xml:space="preserve">long </w:t>
      </w:r>
      <w:r w:rsidR="00CD192C">
        <w:rPr>
          <w:rFonts w:ascii="Calibri" w:hAnsi="Calibri"/>
        </w:rPr>
        <w:t>bitmap, we propose to use two</w:t>
      </w:r>
      <w:r w:rsidR="003B2F27">
        <w:rPr>
          <w:rFonts w:ascii="Calibri" w:hAnsi="Calibri"/>
        </w:rPr>
        <w:t xml:space="preserve"> short</w:t>
      </w:r>
      <w:r w:rsidR="00CD192C">
        <w:rPr>
          <w:rFonts w:ascii="Calibri" w:hAnsi="Calibri"/>
        </w:rPr>
        <w:t xml:space="preserve"> bitmap</w:t>
      </w:r>
      <w:r w:rsidR="00D60C8C">
        <w:rPr>
          <w:rFonts w:ascii="Calibri" w:hAnsi="Calibri"/>
        </w:rPr>
        <w:t>s</w:t>
      </w:r>
      <w:r w:rsidR="00CD192C">
        <w:rPr>
          <w:rFonts w:ascii="Calibri" w:hAnsi="Calibri"/>
        </w:rPr>
        <w:t xml:space="preserve"> to reduce the signalling overhead. </w:t>
      </w:r>
      <w:r w:rsidR="00C452CB">
        <w:rPr>
          <w:rFonts w:ascii="Calibri" w:hAnsi="Calibri"/>
        </w:rPr>
        <w:t xml:space="preserve">With two bitmaps on time and frequency domain separately, it’s possible to construct a RE mapping in the granularity of RE level. </w:t>
      </w:r>
    </w:p>
    <w:p w14:paraId="296E94A1" w14:textId="3645D5F3" w:rsidR="00C452CB" w:rsidRPr="00C452CB" w:rsidRDefault="00C452CB" w:rsidP="00C452CB">
      <w:pPr>
        <w:pStyle w:val="maintext"/>
        <w:ind w:firstLineChars="0" w:firstLine="0"/>
        <w:rPr>
          <w:rFonts w:ascii="Calibri" w:hAnsi="Calibri"/>
        </w:rPr>
      </w:pPr>
      <w:r w:rsidRPr="00C452CB">
        <w:rPr>
          <w:rFonts w:ascii="Calibri" w:hAnsi="Calibri"/>
        </w:rPr>
        <w:t xml:space="preserve">Let’s say, bitmap-1 is </w:t>
      </w:r>
      <m:oMath>
        <m:sSub>
          <m:sSubPr>
            <m:ctrlPr>
              <w:rPr>
                <w:rFonts w:ascii="Cambria Math" w:hAnsi="Cambria Math"/>
              </w:rPr>
            </m:ctrlPr>
          </m:sSubPr>
          <m:e>
            <m:r>
              <w:rPr>
                <w:rFonts w:ascii="Cambria Math" w:hAnsi="Cambria Math"/>
              </w:rPr>
              <m:t>X</m:t>
            </m:r>
          </m:e>
          <m:sub>
            <m:r>
              <w:rPr>
                <w:rFonts w:ascii="Cambria Math" w:hAnsi="Cambria Math"/>
              </w:rPr>
              <m:t>l</m:t>
            </m:r>
          </m:sub>
        </m:sSub>
      </m:oMath>
      <w:r w:rsidRPr="00C452CB">
        <w:rPr>
          <w:rFonts w:ascii="Calibri" w:hAnsi="Calibri"/>
        </w:rPr>
        <w:t xml:space="preserve"> where l is the index of OFDM symbol. Meanwhile bitmap-2 is </w:t>
      </w:r>
      <m:oMath>
        <m:sSub>
          <m:sSubPr>
            <m:ctrlPr>
              <w:rPr>
                <w:rFonts w:ascii="Cambria Math" w:hAnsi="Cambria Math"/>
              </w:rPr>
            </m:ctrlPr>
          </m:sSubPr>
          <m:e>
            <m:r>
              <w:rPr>
                <w:rFonts w:ascii="Cambria Math" w:hAnsi="Cambria Math"/>
              </w:rPr>
              <m:t>Y</m:t>
            </m:r>
          </m:e>
          <m:sub>
            <m:r>
              <w:rPr>
                <w:rFonts w:ascii="Cambria Math" w:hAnsi="Cambria Math"/>
              </w:rPr>
              <m:t>k</m:t>
            </m:r>
          </m:sub>
        </m:sSub>
      </m:oMath>
      <w:r w:rsidRPr="00C452CB">
        <w:rPr>
          <w:rFonts w:ascii="Calibri" w:hAnsi="Calibri"/>
        </w:rPr>
        <w:t xml:space="preserve"> where k is the index of OFDM subcarrier. The final reserved resource mapping is defined as </w:t>
      </w:r>
    </w:p>
    <w:p w14:paraId="1248B377" w14:textId="77777777" w:rsidR="00C452CB" w:rsidRPr="00AE7060" w:rsidRDefault="00537C70" w:rsidP="00C452CB">
      <w:pPr>
        <w:rPr>
          <w:sz w:val="24"/>
        </w:rPr>
      </w:pPr>
      <m:oMathPara>
        <m:oMath>
          <m:sSub>
            <m:sSubPr>
              <m:ctrlPr>
                <w:rPr>
                  <w:rFonts w:ascii="Cambria Math" w:hAnsi="Cambria Math"/>
                  <w:i/>
                  <w:sz w:val="24"/>
                </w:rPr>
              </m:ctrlPr>
            </m:sSubPr>
            <m:e>
              <m:r>
                <w:rPr>
                  <w:rFonts w:ascii="Cambria Math" w:hAnsi="Cambria Math"/>
                  <w:sz w:val="24"/>
                </w:rPr>
                <m:t>r</m:t>
              </m:r>
            </m:e>
            <m:sub>
              <m:r>
                <w:rPr>
                  <w:rFonts w:ascii="Cambria Math" w:hAnsi="Cambria Math"/>
                  <w:sz w:val="24"/>
                </w:rPr>
                <m:t>k,l</m:t>
              </m:r>
            </m:sub>
          </m:sSub>
          <m:r>
            <w:rPr>
              <w:rFonts w:ascii="Cambria Math" w:hAnsi="Cambria Math"/>
              <w:sz w:val="24"/>
            </w:rPr>
            <m:t>=0</m:t>
          </m:r>
        </m:oMath>
      </m:oMathPara>
    </w:p>
    <w:p w14:paraId="0A19A0F1" w14:textId="77777777" w:rsidR="00C452CB" w:rsidRPr="00563529" w:rsidRDefault="00C452CB" w:rsidP="00563529">
      <w:pPr>
        <w:pStyle w:val="maintext"/>
        <w:ind w:firstLineChars="0" w:firstLine="0"/>
        <w:rPr>
          <w:rFonts w:ascii="Calibri" w:hAnsi="Calibri"/>
        </w:rPr>
      </w:pPr>
      <w:r w:rsidRPr="00563529">
        <w:rPr>
          <w:rFonts w:ascii="Calibri" w:hAnsi="Calibri"/>
        </w:rPr>
        <w:t xml:space="preserve">Where </w:t>
      </w:r>
      <m:oMath>
        <m:r>
          <m:rPr>
            <m:sty m:val="p"/>
          </m:rPr>
          <w:rPr>
            <w:rFonts w:ascii="Cambria Math" w:hAnsi="Cambria Math"/>
          </w:rPr>
          <w:br/>
        </m:r>
      </m:oMath>
      <m:oMathPara>
        <m:oMath>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l</m:t>
              </m:r>
            </m:e>
          </m:d>
          <m:r>
            <m:rPr>
              <m:sty m:val="p"/>
            </m:rPr>
            <w:rPr>
              <w:rFonts w:ascii="Cambria Math" w:hAnsi="Cambria Math"/>
            </w:rPr>
            <m:t>∈{</m:t>
          </m:r>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l</m:t>
              </m:r>
            </m:e>
          </m:d>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l</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k</m:t>
              </m:r>
            </m:sub>
          </m:sSub>
          <m:r>
            <m:rPr>
              <m:sty m:val="p"/>
            </m:rPr>
            <w:rPr>
              <w:rFonts w:ascii="Cambria Math" w:hAnsi="Cambria Math"/>
            </w:rPr>
            <m:t>=1}</m:t>
          </m:r>
        </m:oMath>
      </m:oMathPara>
    </w:p>
    <w:p w14:paraId="144006AF" w14:textId="77777777" w:rsidR="00C452CB" w:rsidRDefault="00537C70" w:rsidP="00563529">
      <w:pPr>
        <w:pStyle w:val="maintext"/>
        <w:ind w:firstLineChars="0" w:firstLine="0"/>
        <w:rPr>
          <w:rFonts w:ascii="Calibri" w:hAnsi="Calibri"/>
        </w:rPr>
      </w:pPr>
      <m:oMath>
        <m:sSub>
          <m:sSubPr>
            <m:ctrlPr>
              <w:rPr>
                <w:rFonts w:ascii="Cambria Math" w:hAnsi="Cambria Math"/>
              </w:rPr>
            </m:ctrlPr>
          </m:sSubPr>
          <m:e>
            <m:r>
              <w:rPr>
                <w:rFonts w:ascii="Cambria Math" w:hAnsi="Cambria Math"/>
              </w:rPr>
              <m:t>X</m:t>
            </m:r>
          </m:e>
          <m:sub>
            <m:r>
              <w:rPr>
                <w:rFonts w:ascii="Cambria Math" w:hAnsi="Cambria Math"/>
              </w:rPr>
              <m:t>l</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Y</m:t>
            </m:r>
          </m:e>
          <m:sub>
            <m:r>
              <w:rPr>
                <w:rFonts w:ascii="Cambria Math" w:hAnsi="Cambria Math"/>
              </w:rPr>
              <m:t>k</m:t>
            </m:r>
          </m:sub>
        </m:sSub>
      </m:oMath>
      <w:r w:rsidR="00C452CB" w:rsidRPr="00563529">
        <w:rPr>
          <w:rFonts w:ascii="Calibri" w:hAnsi="Calibri"/>
        </w:rPr>
        <w:t xml:space="preserve"> are RRC signalling configured bitmaps.</w:t>
      </w:r>
    </w:p>
    <w:p w14:paraId="3A10961F" w14:textId="77777777" w:rsidR="00543ED4" w:rsidRPr="00563529" w:rsidRDefault="00543ED4" w:rsidP="00563529">
      <w:pPr>
        <w:pStyle w:val="maintext"/>
        <w:ind w:firstLineChars="0" w:firstLine="0"/>
        <w:rPr>
          <w:rFonts w:ascii="Calibri" w:hAnsi="Calibri"/>
        </w:rPr>
      </w:pPr>
    </w:p>
    <w:p w14:paraId="4AC31BDC" w14:textId="77777777" w:rsidR="00543ED4" w:rsidRPr="00543ED4" w:rsidRDefault="00543ED4" w:rsidP="00543ED4">
      <w:pPr>
        <w:pStyle w:val="maintext"/>
        <w:ind w:firstLineChars="0" w:firstLine="0"/>
        <w:rPr>
          <w:rFonts w:ascii="Calibri" w:hAnsi="Calibri"/>
        </w:rPr>
      </w:pPr>
      <w:r w:rsidRPr="00543ED4">
        <w:rPr>
          <w:rFonts w:ascii="Calibri" w:hAnsi="Calibri"/>
        </w:rPr>
        <w:t xml:space="preserve">The below figure illustrates the definition of 2-D bitmap. Bitmap-1 and Bitmap-2 are high layer configured bitmap, the reserved resource is defined according to both bitmaps. For a particular radio resource element (RE), the corresponding subcarrier and symbol index can map this RE to both bitmaps. If the bit in both bitmaps is 1, then the RE is considered as reserved resource. </w:t>
      </w:r>
    </w:p>
    <w:p w14:paraId="22275605" w14:textId="77777777" w:rsidR="00C452CB" w:rsidRPr="00C452CB" w:rsidRDefault="00C452CB" w:rsidP="00244175">
      <w:pPr>
        <w:pStyle w:val="maintext"/>
        <w:ind w:firstLineChars="0" w:firstLine="0"/>
        <w:rPr>
          <w:rFonts w:ascii="Calibri" w:hAnsi="Calibri"/>
          <w:lang w:val="en-US"/>
        </w:rPr>
      </w:pPr>
    </w:p>
    <w:p w14:paraId="780AC6C3" w14:textId="77777777" w:rsidR="00C452CB" w:rsidRPr="00C452CB" w:rsidRDefault="00C452CB" w:rsidP="00244175">
      <w:pPr>
        <w:pStyle w:val="maintext"/>
        <w:ind w:firstLineChars="0" w:firstLine="0"/>
        <w:rPr>
          <w:rFonts w:ascii="Calibri" w:hAnsi="Calibri"/>
          <w:lang w:val="en-US"/>
        </w:rPr>
      </w:pPr>
    </w:p>
    <w:p w14:paraId="31CCD275" w14:textId="77777777" w:rsidR="009F501E" w:rsidRDefault="009F501E" w:rsidP="00244175">
      <w:pPr>
        <w:pStyle w:val="maintext"/>
        <w:ind w:firstLineChars="0" w:firstLine="0"/>
        <w:rPr>
          <w:rFonts w:ascii="Calibri" w:hAnsi="Calibri"/>
        </w:rPr>
      </w:pPr>
    </w:p>
    <w:p w14:paraId="19B2B137" w14:textId="7745553B" w:rsidR="009F501E" w:rsidRDefault="009F501E" w:rsidP="009F501E">
      <w:pPr>
        <w:pStyle w:val="maintext"/>
        <w:ind w:firstLineChars="0" w:firstLine="0"/>
        <w:jc w:val="center"/>
        <w:rPr>
          <w:rFonts w:ascii="Calibri" w:hAnsi="Calibri"/>
        </w:rPr>
      </w:pPr>
      <w:r w:rsidRPr="005073D6">
        <w:rPr>
          <w:noProof/>
          <w:lang w:val="en-US" w:eastAsia="zh-CN"/>
        </w:rPr>
        <w:drawing>
          <wp:inline distT="0" distB="0" distL="0" distR="0" wp14:anchorId="39E3B8DD" wp14:editId="7037B6A5">
            <wp:extent cx="3481705" cy="2690495"/>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81705" cy="2690495"/>
                    </a:xfrm>
                    <a:prstGeom prst="rect">
                      <a:avLst/>
                    </a:prstGeom>
                    <a:noFill/>
                    <a:ln>
                      <a:noFill/>
                    </a:ln>
                  </pic:spPr>
                </pic:pic>
              </a:graphicData>
            </a:graphic>
          </wp:inline>
        </w:drawing>
      </w:r>
    </w:p>
    <w:p w14:paraId="258F308E" w14:textId="77777777" w:rsidR="00244175" w:rsidRDefault="00244175" w:rsidP="0054616C">
      <w:pPr>
        <w:pStyle w:val="maintext"/>
        <w:ind w:firstLineChars="90" w:firstLine="180"/>
        <w:rPr>
          <w:rFonts w:ascii="Calibri" w:hAnsi="Calibri"/>
        </w:rPr>
      </w:pPr>
    </w:p>
    <w:p w14:paraId="0146734F" w14:textId="77777777" w:rsidR="00244175" w:rsidRDefault="00244175" w:rsidP="0054616C">
      <w:pPr>
        <w:pStyle w:val="maintext"/>
        <w:ind w:firstLineChars="90" w:firstLine="180"/>
        <w:rPr>
          <w:rFonts w:ascii="Calibri" w:hAnsi="Calibri"/>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21117353" w14:textId="77777777" w:rsidR="0054616C" w:rsidRDefault="0054616C" w:rsidP="0054616C">
      <w:pPr>
        <w:pStyle w:val="maintext"/>
        <w:ind w:firstLineChars="0" w:firstLine="0"/>
        <w:rPr>
          <w:rFonts w:ascii="Calibri" w:hAnsi="Calibri"/>
        </w:rPr>
      </w:pPr>
      <w:r>
        <w:rPr>
          <w:rFonts w:ascii="Calibri" w:hAnsi="Calibri"/>
        </w:rPr>
        <w:t>In this contribution, we discussed requirements and signaling mechanisms to ensure forward compatibility of the NR. The following is proposed:</w:t>
      </w:r>
    </w:p>
    <w:p w14:paraId="35820980" w14:textId="77777777" w:rsidR="0054616C" w:rsidRDefault="0054616C" w:rsidP="0054616C">
      <w:pPr>
        <w:pStyle w:val="maintext"/>
        <w:numPr>
          <w:ilvl w:val="0"/>
          <w:numId w:val="41"/>
        </w:numPr>
        <w:ind w:firstLineChars="0"/>
        <w:rPr>
          <w:rFonts w:ascii="Calibri" w:eastAsia="Times New Roman" w:hAnsi="Calibri" w:cs="Times New Roman"/>
          <w:b/>
          <w:lang w:val="en-US"/>
        </w:rPr>
      </w:pPr>
      <w:r>
        <w:rPr>
          <w:rFonts w:ascii="Calibri" w:eastAsia="Times New Roman" w:hAnsi="Calibri" w:cs="Times New Roman"/>
          <w:b/>
          <w:lang w:val="en-US"/>
        </w:rPr>
        <w:t>Dynamic indication of the PDSCH RE mapping behavior is supported</w:t>
      </w:r>
    </w:p>
    <w:p w14:paraId="58B33EE0" w14:textId="77777777" w:rsidR="0054616C" w:rsidRDefault="0054616C" w:rsidP="0054616C">
      <w:pPr>
        <w:pStyle w:val="maintext"/>
        <w:numPr>
          <w:ilvl w:val="1"/>
          <w:numId w:val="41"/>
        </w:numPr>
        <w:ind w:firstLineChars="0"/>
        <w:rPr>
          <w:rFonts w:ascii="Calibri" w:eastAsia="Times New Roman" w:hAnsi="Calibri" w:cs="Times New Roman"/>
          <w:b/>
          <w:lang w:val="en-US"/>
        </w:rPr>
      </w:pPr>
      <w:r>
        <w:rPr>
          <w:rFonts w:ascii="Calibri" w:eastAsia="Times New Roman" w:hAnsi="Calibri" w:cs="Times New Roman"/>
          <w:b/>
          <w:lang w:val="en-US"/>
        </w:rPr>
        <w:t>N bits in the DCI select one of 2</w:t>
      </w:r>
      <w:r>
        <w:rPr>
          <w:rFonts w:ascii="Calibri" w:eastAsia="Times New Roman" w:hAnsi="Calibri" w:cs="Times New Roman"/>
          <w:b/>
          <w:vertAlign w:val="superscript"/>
          <w:lang w:val="en-US"/>
        </w:rPr>
        <w:t>N</w:t>
      </w:r>
      <w:r>
        <w:rPr>
          <w:rFonts w:ascii="Calibri" w:eastAsia="Times New Roman" w:hAnsi="Calibri" w:cs="Times New Roman"/>
          <w:b/>
          <w:lang w:val="en-US"/>
        </w:rPr>
        <w:t xml:space="preserve">  RRC configured PDSCH RE mapping pattern</w:t>
      </w:r>
    </w:p>
    <w:p w14:paraId="6F800D3C" w14:textId="77777777" w:rsidR="0054616C" w:rsidRDefault="0054616C" w:rsidP="0054616C">
      <w:pPr>
        <w:pStyle w:val="maintext"/>
        <w:numPr>
          <w:ilvl w:val="2"/>
          <w:numId w:val="41"/>
        </w:numPr>
        <w:ind w:firstLineChars="0"/>
        <w:rPr>
          <w:rFonts w:ascii="Calibri" w:eastAsia="Times New Roman" w:hAnsi="Calibri" w:cs="Times New Roman"/>
          <w:b/>
          <w:lang w:val="en-US"/>
        </w:rPr>
      </w:pPr>
      <w:r>
        <w:rPr>
          <w:rFonts w:ascii="Calibri" w:eastAsia="Times New Roman" w:hAnsi="Calibri" w:cs="Times New Roman"/>
          <w:b/>
          <w:lang w:val="en-US"/>
        </w:rPr>
        <w:t xml:space="preserve">FFS: value of N </w:t>
      </w:r>
    </w:p>
    <w:p w14:paraId="1E88AC49" w14:textId="77777777" w:rsidR="0054616C" w:rsidRDefault="0054616C" w:rsidP="0054616C">
      <w:pPr>
        <w:pStyle w:val="maintext"/>
        <w:numPr>
          <w:ilvl w:val="0"/>
          <w:numId w:val="41"/>
        </w:numPr>
        <w:ind w:firstLineChars="0"/>
        <w:rPr>
          <w:rFonts w:ascii="Calibri" w:eastAsia="Times New Roman" w:hAnsi="Calibri" w:cs="Times New Roman"/>
          <w:b/>
          <w:lang w:val="en-US"/>
        </w:rPr>
      </w:pPr>
      <w:r>
        <w:rPr>
          <w:rFonts w:ascii="Calibri" w:eastAsia="Times New Roman" w:hAnsi="Calibri" w:cs="Times New Roman"/>
          <w:b/>
          <w:lang w:val="en-US"/>
        </w:rPr>
        <w:t>RRC based PDSCH RE mapping pattern configuration, each PDSCH RE mapping patterns may include:</w:t>
      </w:r>
    </w:p>
    <w:p w14:paraId="46DDF47B" w14:textId="77777777" w:rsidR="003B625D" w:rsidRPr="003B625D" w:rsidRDefault="003B625D" w:rsidP="003B625D">
      <w:pPr>
        <w:pStyle w:val="ListParagraph"/>
        <w:keepNext/>
        <w:numPr>
          <w:ilvl w:val="1"/>
          <w:numId w:val="41"/>
        </w:numPr>
        <w:spacing w:before="0" w:after="200" w:line="276" w:lineRule="auto"/>
        <w:jc w:val="left"/>
        <w:rPr>
          <w:rFonts w:ascii="Calibri" w:hAnsi="Calibri" w:cs="Arial"/>
          <w:b/>
        </w:rPr>
      </w:pPr>
      <w:r w:rsidRPr="003B625D">
        <w:rPr>
          <w:rFonts w:ascii="Calibri" w:hAnsi="Calibri" w:cs="Arial"/>
          <w:b/>
        </w:rPr>
        <w:lastRenderedPageBreak/>
        <w:t>The configuration of some RS/channels that PDSCH RE mapping should avoid, below are examples:</w:t>
      </w:r>
    </w:p>
    <w:p w14:paraId="4BF8EA20" w14:textId="77777777" w:rsidR="003B625D" w:rsidRPr="003B625D" w:rsidRDefault="003B625D" w:rsidP="003B625D">
      <w:pPr>
        <w:pStyle w:val="ListParagraph"/>
        <w:keepNext/>
        <w:numPr>
          <w:ilvl w:val="2"/>
          <w:numId w:val="41"/>
        </w:numPr>
        <w:spacing w:before="0" w:after="200" w:line="276" w:lineRule="auto"/>
        <w:jc w:val="left"/>
        <w:rPr>
          <w:rFonts w:ascii="Calibri" w:hAnsi="Calibri" w:cs="Arial"/>
          <w:b/>
        </w:rPr>
      </w:pPr>
      <w:r w:rsidRPr="003B625D">
        <w:rPr>
          <w:rFonts w:ascii="Calibri" w:hAnsi="Calibri" w:cs="Arial"/>
          <w:b/>
        </w:rPr>
        <w:t xml:space="preserve">NR CORESET configurations </w:t>
      </w:r>
    </w:p>
    <w:p w14:paraId="273AA67E" w14:textId="77777777" w:rsidR="003B625D" w:rsidRPr="003B625D" w:rsidRDefault="003B625D" w:rsidP="003B625D">
      <w:pPr>
        <w:pStyle w:val="ListParagraph"/>
        <w:keepNext/>
        <w:numPr>
          <w:ilvl w:val="2"/>
          <w:numId w:val="41"/>
        </w:numPr>
        <w:spacing w:before="0" w:after="200" w:line="276" w:lineRule="auto"/>
        <w:jc w:val="left"/>
        <w:rPr>
          <w:rFonts w:ascii="Calibri" w:hAnsi="Calibri" w:cs="Arial"/>
          <w:b/>
        </w:rPr>
      </w:pPr>
      <w:r w:rsidRPr="003B625D">
        <w:rPr>
          <w:rFonts w:ascii="Calibri" w:hAnsi="Calibri" w:cs="Arial"/>
          <w:b/>
        </w:rPr>
        <w:t xml:space="preserve">NR CSI-RS configurations </w:t>
      </w:r>
    </w:p>
    <w:p w14:paraId="1011F396" w14:textId="77777777" w:rsidR="003B625D" w:rsidRPr="003B625D" w:rsidRDefault="003B625D" w:rsidP="003B625D">
      <w:pPr>
        <w:pStyle w:val="ListParagraph"/>
        <w:keepNext/>
        <w:numPr>
          <w:ilvl w:val="2"/>
          <w:numId w:val="41"/>
        </w:numPr>
        <w:spacing w:before="0" w:after="200" w:line="276" w:lineRule="auto"/>
        <w:jc w:val="left"/>
        <w:rPr>
          <w:rFonts w:ascii="Calibri" w:hAnsi="Calibri" w:cs="Arial"/>
          <w:b/>
        </w:rPr>
      </w:pPr>
      <w:r w:rsidRPr="003B625D">
        <w:rPr>
          <w:rFonts w:ascii="Calibri" w:hAnsi="Calibri" w:cs="Arial"/>
          <w:b/>
        </w:rPr>
        <w:t>NR PDSCH starting symbols</w:t>
      </w:r>
    </w:p>
    <w:p w14:paraId="1BBA83BB" w14:textId="77777777" w:rsidR="003B625D" w:rsidRPr="003B625D" w:rsidRDefault="003B625D" w:rsidP="003B625D">
      <w:pPr>
        <w:pStyle w:val="ListParagraph"/>
        <w:keepNext/>
        <w:numPr>
          <w:ilvl w:val="2"/>
          <w:numId w:val="41"/>
        </w:numPr>
        <w:spacing w:before="0" w:after="200" w:line="276" w:lineRule="auto"/>
        <w:jc w:val="left"/>
        <w:rPr>
          <w:rFonts w:ascii="Calibri" w:hAnsi="Calibri" w:cs="Arial"/>
          <w:b/>
        </w:rPr>
      </w:pPr>
      <w:r w:rsidRPr="003B625D">
        <w:rPr>
          <w:rFonts w:ascii="Calibri" w:hAnsi="Calibri" w:cs="Arial"/>
          <w:b/>
        </w:rPr>
        <w:t xml:space="preserve">NR PDSCH ending symbols </w:t>
      </w:r>
    </w:p>
    <w:p w14:paraId="5D5C6649" w14:textId="77777777" w:rsidR="003B625D" w:rsidRPr="003B625D" w:rsidRDefault="003B625D" w:rsidP="003B625D">
      <w:pPr>
        <w:pStyle w:val="ListParagraph"/>
        <w:keepNext/>
        <w:numPr>
          <w:ilvl w:val="1"/>
          <w:numId w:val="41"/>
        </w:numPr>
        <w:spacing w:before="0" w:after="200" w:line="276" w:lineRule="auto"/>
        <w:jc w:val="left"/>
        <w:rPr>
          <w:rFonts w:ascii="Calibri" w:hAnsi="Calibri" w:cs="Arial"/>
          <w:b/>
        </w:rPr>
      </w:pPr>
      <w:r w:rsidRPr="003B625D">
        <w:rPr>
          <w:rFonts w:ascii="Calibri" w:hAnsi="Calibri" w:cs="Arial"/>
          <w:b/>
        </w:rPr>
        <w:t>Per RE level mapping pattern, with the following example signaling:</w:t>
      </w:r>
    </w:p>
    <w:p w14:paraId="3CCCF80E" w14:textId="77777777" w:rsidR="003B625D" w:rsidRPr="003B625D" w:rsidRDefault="003B625D" w:rsidP="003B625D">
      <w:pPr>
        <w:pStyle w:val="ListParagraph"/>
        <w:keepNext/>
        <w:numPr>
          <w:ilvl w:val="2"/>
          <w:numId w:val="41"/>
        </w:numPr>
        <w:spacing w:before="0" w:after="200" w:line="276" w:lineRule="auto"/>
        <w:jc w:val="left"/>
        <w:rPr>
          <w:rFonts w:ascii="Calibri" w:hAnsi="Calibri" w:cs="Arial"/>
          <w:b/>
        </w:rPr>
      </w:pPr>
      <w:r w:rsidRPr="003B625D">
        <w:rPr>
          <w:rFonts w:ascii="Calibri" w:hAnsi="Calibri" w:cs="Arial"/>
          <w:b/>
        </w:rPr>
        <w:t xml:space="preserve">One bitmap where each bit represent one RE. </w:t>
      </w:r>
      <w:r w:rsidRPr="003B625D">
        <w:rPr>
          <w:rFonts w:ascii="Calibri" w:hAnsi="Calibri"/>
          <w:b/>
        </w:rPr>
        <w:t>(e.g., 12 subcarrier x 14 OFDM symbols)</w:t>
      </w:r>
      <w:r w:rsidRPr="003B625D">
        <w:rPr>
          <w:rFonts w:ascii="Calibri" w:hAnsi="Calibri" w:cs="Arial"/>
          <w:b/>
        </w:rPr>
        <w:t xml:space="preserve"> </w:t>
      </w:r>
    </w:p>
    <w:p w14:paraId="1E54FC64" w14:textId="77777777" w:rsidR="003B625D" w:rsidRPr="003B625D" w:rsidRDefault="003B625D" w:rsidP="003B625D">
      <w:pPr>
        <w:pStyle w:val="ListParagraph"/>
        <w:keepNext/>
        <w:numPr>
          <w:ilvl w:val="2"/>
          <w:numId w:val="41"/>
        </w:numPr>
        <w:spacing w:before="0" w:after="200" w:line="276" w:lineRule="auto"/>
        <w:jc w:val="left"/>
        <w:rPr>
          <w:rFonts w:ascii="Calibri" w:hAnsi="Calibri" w:cs="Arial"/>
          <w:b/>
        </w:rPr>
      </w:pPr>
      <w:r w:rsidRPr="003B625D">
        <w:rPr>
          <w:rFonts w:ascii="Calibri" w:hAnsi="Calibri" w:cs="Arial"/>
          <w:b/>
        </w:rPr>
        <w:t>Two bitmap to indicate the RE mapping (one bitmap in time domain and one in frequency domain, see section-5 for more details)</w:t>
      </w:r>
    </w:p>
    <w:p w14:paraId="3D6350DC" w14:textId="77777777" w:rsidR="003B625D" w:rsidRPr="003B625D" w:rsidRDefault="003B625D" w:rsidP="003B625D">
      <w:pPr>
        <w:pStyle w:val="ListParagraph"/>
        <w:keepNext/>
        <w:numPr>
          <w:ilvl w:val="2"/>
          <w:numId w:val="41"/>
        </w:numPr>
        <w:spacing w:before="0" w:after="200" w:line="276" w:lineRule="auto"/>
        <w:jc w:val="left"/>
        <w:rPr>
          <w:rFonts w:ascii="Calibri" w:hAnsi="Calibri" w:cs="Arial"/>
          <w:b/>
        </w:rPr>
      </w:pPr>
      <w:r w:rsidRPr="003B625D">
        <w:rPr>
          <w:rFonts w:ascii="Calibri" w:hAnsi="Calibri" w:cs="Arial"/>
          <w:b/>
        </w:rPr>
        <w:t xml:space="preserve">If included in the RRC signaling, this bitmap will overwrite the configuration from step-1. </w:t>
      </w:r>
    </w:p>
    <w:p w14:paraId="2621DB2B" w14:textId="515B4D90" w:rsidR="003B625D" w:rsidRPr="00A244B9" w:rsidRDefault="003B625D" w:rsidP="003B625D">
      <w:pPr>
        <w:pStyle w:val="ListParagraph"/>
        <w:keepNext/>
        <w:numPr>
          <w:ilvl w:val="1"/>
          <w:numId w:val="41"/>
        </w:numPr>
        <w:spacing w:before="0" w:after="200" w:line="276" w:lineRule="auto"/>
        <w:jc w:val="left"/>
        <w:rPr>
          <w:rFonts w:ascii="Calibri" w:hAnsi="Calibri" w:cs="Arial"/>
        </w:rPr>
      </w:pPr>
      <w:r w:rsidRPr="003B625D">
        <w:rPr>
          <w:rFonts w:ascii="Calibri" w:hAnsi="Calibri" w:cs="Arial"/>
          <w:b/>
        </w:rPr>
        <w:t>Optionally, subband information can</w:t>
      </w:r>
      <w:r w:rsidR="00491ACD">
        <w:rPr>
          <w:rFonts w:ascii="Calibri" w:hAnsi="Calibri" w:cs="Arial"/>
          <w:b/>
        </w:rPr>
        <w:t xml:space="preserve"> be included to </w:t>
      </w:r>
      <w:r w:rsidR="00EF54A5">
        <w:rPr>
          <w:rFonts w:ascii="Calibri" w:hAnsi="Calibri" w:cs="Arial"/>
          <w:b/>
        </w:rPr>
        <w:t xml:space="preserve">signal the applicable subband the reserved resource </w:t>
      </w:r>
      <w:r w:rsidR="0044636A">
        <w:rPr>
          <w:rFonts w:ascii="Calibri" w:hAnsi="Calibri" w:cs="Arial"/>
          <w:b/>
        </w:rPr>
        <w:t>applied.</w:t>
      </w:r>
    </w:p>
    <w:p w14:paraId="510F2D24" w14:textId="77777777" w:rsidR="00E664F4" w:rsidRPr="003B625D" w:rsidRDefault="00E664F4" w:rsidP="001C2752">
      <w:pPr>
        <w:pStyle w:val="2222"/>
        <w:spacing w:after="120" w:line="288" w:lineRule="auto"/>
        <w:ind w:firstLineChars="0" w:firstLine="0"/>
        <w:rPr>
          <w:rFonts w:cs="Times New Roman"/>
          <w:lang w:val="en-US" w:eastAsia="ko-KR"/>
        </w:rPr>
      </w:pPr>
    </w:p>
    <w:p w14:paraId="4E43A345" w14:textId="77777777" w:rsidR="00CF482C" w:rsidRPr="001C2752" w:rsidRDefault="00CF482C" w:rsidP="001C2752">
      <w:pPr>
        <w:pStyle w:val="2222"/>
        <w:spacing w:after="120" w:line="288" w:lineRule="auto"/>
        <w:ind w:firstLineChars="0" w:firstLine="0"/>
        <w:rPr>
          <w:rFonts w:cs="Times New Roman"/>
          <w:lang w:eastAsia="ko-KR"/>
        </w:rPr>
      </w:pPr>
    </w:p>
    <w:sectPr w:rsidR="00CF482C" w:rsidRPr="001C275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DFF48" w14:textId="77777777" w:rsidR="00537C70" w:rsidRDefault="00537C70" w:rsidP="00424124">
      <w:pPr>
        <w:spacing w:before="0" w:after="0"/>
      </w:pPr>
      <w:r>
        <w:separator/>
      </w:r>
    </w:p>
  </w:endnote>
  <w:endnote w:type="continuationSeparator" w:id="0">
    <w:p w14:paraId="72E0CE79" w14:textId="77777777" w:rsidR="00537C70" w:rsidRDefault="00537C70"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52A333" w14:textId="77777777" w:rsidR="00537C70" w:rsidRDefault="00537C70" w:rsidP="00424124">
      <w:pPr>
        <w:spacing w:before="0" w:after="0"/>
      </w:pPr>
      <w:r>
        <w:separator/>
      </w:r>
    </w:p>
  </w:footnote>
  <w:footnote w:type="continuationSeparator" w:id="0">
    <w:p w14:paraId="3F6BCBFF" w14:textId="77777777" w:rsidR="00537C70" w:rsidRDefault="00537C70"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77318"/>
    <w:multiLevelType w:val="hybridMultilevel"/>
    <w:tmpl w:val="684A6DEC"/>
    <w:lvl w:ilvl="0" w:tplc="E3D60774">
      <w:numFmt w:val="bullet"/>
      <w:lvlText w:val="-"/>
      <w:lvlJc w:val="left"/>
      <w:pPr>
        <w:ind w:left="1433" w:hanging="465"/>
      </w:pPr>
      <w:rPr>
        <w:rFonts w:ascii="Times New Roman" w:eastAsia="Times New Roman" w:hAnsi="Times New Roman" w:cs="Times New Roman" w:hint="default"/>
      </w:rPr>
    </w:lvl>
    <w:lvl w:ilvl="1" w:tplc="04090003">
      <w:start w:val="1"/>
      <w:numFmt w:val="bullet"/>
      <w:lvlText w:val="o"/>
      <w:lvlJc w:val="left"/>
      <w:pPr>
        <w:ind w:left="2048" w:hanging="360"/>
      </w:pPr>
      <w:rPr>
        <w:rFonts w:ascii="Courier New" w:hAnsi="Courier New" w:cs="Courier New" w:hint="default"/>
      </w:rPr>
    </w:lvl>
    <w:lvl w:ilvl="2" w:tplc="04090005">
      <w:start w:val="1"/>
      <w:numFmt w:val="bullet"/>
      <w:lvlText w:val=""/>
      <w:lvlJc w:val="left"/>
      <w:pPr>
        <w:ind w:left="2768" w:hanging="360"/>
      </w:pPr>
      <w:rPr>
        <w:rFonts w:ascii="Wingdings" w:hAnsi="Wingdings" w:hint="default"/>
      </w:rPr>
    </w:lvl>
    <w:lvl w:ilvl="3" w:tplc="04090001">
      <w:start w:val="1"/>
      <w:numFmt w:val="bullet"/>
      <w:lvlText w:val=""/>
      <w:lvlJc w:val="left"/>
      <w:pPr>
        <w:ind w:left="3488" w:hanging="360"/>
      </w:pPr>
      <w:rPr>
        <w:rFonts w:ascii="Symbol" w:hAnsi="Symbol" w:hint="default"/>
      </w:rPr>
    </w:lvl>
    <w:lvl w:ilvl="4" w:tplc="04090003">
      <w:start w:val="1"/>
      <w:numFmt w:val="bullet"/>
      <w:lvlText w:val="o"/>
      <w:lvlJc w:val="left"/>
      <w:pPr>
        <w:ind w:left="4208" w:hanging="360"/>
      </w:pPr>
      <w:rPr>
        <w:rFonts w:ascii="Courier New" w:hAnsi="Courier New" w:cs="Courier New" w:hint="default"/>
      </w:rPr>
    </w:lvl>
    <w:lvl w:ilvl="5" w:tplc="04090005">
      <w:start w:val="1"/>
      <w:numFmt w:val="bullet"/>
      <w:lvlText w:val=""/>
      <w:lvlJc w:val="left"/>
      <w:pPr>
        <w:ind w:left="4928" w:hanging="360"/>
      </w:pPr>
      <w:rPr>
        <w:rFonts w:ascii="Wingdings" w:hAnsi="Wingdings" w:hint="default"/>
      </w:rPr>
    </w:lvl>
    <w:lvl w:ilvl="6" w:tplc="04090001">
      <w:start w:val="1"/>
      <w:numFmt w:val="bullet"/>
      <w:lvlText w:val=""/>
      <w:lvlJc w:val="left"/>
      <w:pPr>
        <w:ind w:left="5648" w:hanging="360"/>
      </w:pPr>
      <w:rPr>
        <w:rFonts w:ascii="Symbol" w:hAnsi="Symbol" w:hint="default"/>
      </w:rPr>
    </w:lvl>
    <w:lvl w:ilvl="7" w:tplc="04090003">
      <w:start w:val="1"/>
      <w:numFmt w:val="bullet"/>
      <w:lvlText w:val="o"/>
      <w:lvlJc w:val="left"/>
      <w:pPr>
        <w:ind w:left="6368" w:hanging="360"/>
      </w:pPr>
      <w:rPr>
        <w:rFonts w:ascii="Courier New" w:hAnsi="Courier New" w:cs="Courier New" w:hint="default"/>
      </w:rPr>
    </w:lvl>
    <w:lvl w:ilvl="8" w:tplc="04090005">
      <w:start w:val="1"/>
      <w:numFmt w:val="bullet"/>
      <w:lvlText w:val=""/>
      <w:lvlJc w:val="left"/>
      <w:pPr>
        <w:ind w:left="7088"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5947E2"/>
    <w:multiLevelType w:val="hybridMultilevel"/>
    <w:tmpl w:val="EE1AF2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272A4C"/>
    <w:multiLevelType w:val="hybridMultilevel"/>
    <w:tmpl w:val="E2F8D570"/>
    <w:lvl w:ilvl="0" w:tplc="13C6E8EA">
      <w:numFmt w:val="bullet"/>
      <w:lvlText w:val="-"/>
      <w:lvlJc w:val="left"/>
      <w:pPr>
        <w:ind w:left="720" w:hanging="540"/>
      </w:pPr>
      <w:rPr>
        <w:rFonts w:ascii="Calibri" w:eastAsia="Times New Roman" w:hAnsi="Calibri"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15:restartNumberingAfterBreak="0">
    <w:nsid w:val="16DE0794"/>
    <w:multiLevelType w:val="hybridMultilevel"/>
    <w:tmpl w:val="B2A297B0"/>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5" w15:restartNumberingAfterBreak="0">
    <w:nsid w:val="18E8346B"/>
    <w:multiLevelType w:val="hybridMultilevel"/>
    <w:tmpl w:val="6F1628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9B729FC"/>
    <w:multiLevelType w:val="hybridMultilevel"/>
    <w:tmpl w:val="92649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683FBB"/>
    <w:multiLevelType w:val="hybridMultilevel"/>
    <w:tmpl w:val="4912B93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cs="Times New Roman" w:hint="default"/>
      </w:rPr>
    </w:lvl>
    <w:lvl w:ilvl="1" w:tplc="195AFFFA">
      <w:start w:val="1"/>
      <w:numFmt w:val="bullet"/>
      <w:lvlText w:val="•"/>
      <w:lvlJc w:val="left"/>
      <w:pPr>
        <w:tabs>
          <w:tab w:val="num" w:pos="1080"/>
        </w:tabs>
        <w:ind w:left="1080" w:hanging="360"/>
      </w:pPr>
      <w:rPr>
        <w:rFonts w:ascii="Arial" w:hAnsi="Arial" w:cs="Times New Roman"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cs="Times New Roman" w:hint="default"/>
      </w:rPr>
    </w:lvl>
    <w:lvl w:ilvl="5" w:tplc="7592D92C">
      <w:start w:val="1"/>
      <w:numFmt w:val="bullet"/>
      <w:lvlText w:val="•"/>
      <w:lvlJc w:val="left"/>
      <w:pPr>
        <w:tabs>
          <w:tab w:val="num" w:pos="3960"/>
        </w:tabs>
        <w:ind w:left="3960" w:hanging="360"/>
      </w:pPr>
      <w:rPr>
        <w:rFonts w:ascii="Arial" w:hAnsi="Arial" w:cs="Times New Roman" w:hint="default"/>
      </w:rPr>
    </w:lvl>
    <w:lvl w:ilvl="6" w:tplc="F050D1AC">
      <w:start w:val="1"/>
      <w:numFmt w:val="bullet"/>
      <w:lvlText w:val="•"/>
      <w:lvlJc w:val="left"/>
      <w:pPr>
        <w:tabs>
          <w:tab w:val="num" w:pos="4680"/>
        </w:tabs>
        <w:ind w:left="4680" w:hanging="360"/>
      </w:pPr>
      <w:rPr>
        <w:rFonts w:ascii="Arial" w:hAnsi="Arial" w:cs="Times New Roman" w:hint="default"/>
      </w:rPr>
    </w:lvl>
    <w:lvl w:ilvl="7" w:tplc="393AF1EA">
      <w:start w:val="1"/>
      <w:numFmt w:val="bullet"/>
      <w:lvlText w:val="•"/>
      <w:lvlJc w:val="left"/>
      <w:pPr>
        <w:tabs>
          <w:tab w:val="num" w:pos="5400"/>
        </w:tabs>
        <w:ind w:left="5400" w:hanging="360"/>
      </w:pPr>
      <w:rPr>
        <w:rFonts w:ascii="Arial" w:hAnsi="Arial" w:cs="Times New Roman" w:hint="default"/>
      </w:rPr>
    </w:lvl>
    <w:lvl w:ilvl="8" w:tplc="64EC427C">
      <w:start w:val="1"/>
      <w:numFmt w:val="bullet"/>
      <w:lvlText w:val="•"/>
      <w:lvlJc w:val="left"/>
      <w:pPr>
        <w:tabs>
          <w:tab w:val="num" w:pos="6120"/>
        </w:tabs>
        <w:ind w:left="6120" w:hanging="360"/>
      </w:pPr>
      <w:rPr>
        <w:rFonts w:ascii="Arial" w:hAnsi="Arial" w:cs="Times New Roman" w:hint="default"/>
      </w:rPr>
    </w:lvl>
  </w:abstractNum>
  <w:abstractNum w:abstractNumId="11"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C31A18"/>
    <w:multiLevelType w:val="hybridMultilevel"/>
    <w:tmpl w:val="5726A9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BDB3878"/>
    <w:multiLevelType w:val="hybridMultilevel"/>
    <w:tmpl w:val="41CE0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6B5968"/>
    <w:multiLevelType w:val="hybridMultilevel"/>
    <w:tmpl w:val="6E7C11F0"/>
    <w:lvl w:ilvl="0" w:tplc="AB460DDE">
      <w:start w:val="1"/>
      <w:numFmt w:val="bullet"/>
      <w:lvlText w:val="•"/>
      <w:lvlJc w:val="left"/>
      <w:pPr>
        <w:tabs>
          <w:tab w:val="num" w:pos="720"/>
        </w:tabs>
        <w:ind w:left="720" w:hanging="360"/>
      </w:pPr>
      <w:rPr>
        <w:rFonts w:ascii="Arial" w:hAnsi="Arial" w:hint="default"/>
      </w:rPr>
    </w:lvl>
    <w:lvl w:ilvl="1" w:tplc="6C2E895C">
      <w:start w:val="1"/>
      <w:numFmt w:val="bullet"/>
      <w:lvlText w:val="•"/>
      <w:lvlJc w:val="left"/>
      <w:pPr>
        <w:tabs>
          <w:tab w:val="num" w:pos="1440"/>
        </w:tabs>
        <w:ind w:left="1440" w:hanging="360"/>
      </w:pPr>
      <w:rPr>
        <w:rFonts w:ascii="Arial" w:hAnsi="Arial" w:hint="default"/>
      </w:rPr>
    </w:lvl>
    <w:lvl w:ilvl="2" w:tplc="3690AA36">
      <w:start w:val="49"/>
      <w:numFmt w:val="bullet"/>
      <w:lvlText w:val="•"/>
      <w:lvlJc w:val="left"/>
      <w:pPr>
        <w:tabs>
          <w:tab w:val="num" w:pos="2160"/>
        </w:tabs>
        <w:ind w:left="2160" w:hanging="360"/>
      </w:pPr>
      <w:rPr>
        <w:rFonts w:ascii="Arial" w:hAnsi="Arial" w:hint="default"/>
      </w:rPr>
    </w:lvl>
    <w:lvl w:ilvl="3" w:tplc="7B6E8FA6" w:tentative="1">
      <w:start w:val="1"/>
      <w:numFmt w:val="bullet"/>
      <w:lvlText w:val="•"/>
      <w:lvlJc w:val="left"/>
      <w:pPr>
        <w:tabs>
          <w:tab w:val="num" w:pos="2880"/>
        </w:tabs>
        <w:ind w:left="2880" w:hanging="360"/>
      </w:pPr>
      <w:rPr>
        <w:rFonts w:ascii="Arial" w:hAnsi="Arial" w:hint="default"/>
      </w:rPr>
    </w:lvl>
    <w:lvl w:ilvl="4" w:tplc="3AB0ECA0" w:tentative="1">
      <w:start w:val="1"/>
      <w:numFmt w:val="bullet"/>
      <w:lvlText w:val="•"/>
      <w:lvlJc w:val="left"/>
      <w:pPr>
        <w:tabs>
          <w:tab w:val="num" w:pos="3600"/>
        </w:tabs>
        <w:ind w:left="3600" w:hanging="360"/>
      </w:pPr>
      <w:rPr>
        <w:rFonts w:ascii="Arial" w:hAnsi="Arial" w:hint="default"/>
      </w:rPr>
    </w:lvl>
    <w:lvl w:ilvl="5" w:tplc="683C26E2" w:tentative="1">
      <w:start w:val="1"/>
      <w:numFmt w:val="bullet"/>
      <w:lvlText w:val="•"/>
      <w:lvlJc w:val="left"/>
      <w:pPr>
        <w:tabs>
          <w:tab w:val="num" w:pos="4320"/>
        </w:tabs>
        <w:ind w:left="4320" w:hanging="360"/>
      </w:pPr>
      <w:rPr>
        <w:rFonts w:ascii="Arial" w:hAnsi="Arial" w:hint="default"/>
      </w:rPr>
    </w:lvl>
    <w:lvl w:ilvl="6" w:tplc="1F5C80BA" w:tentative="1">
      <w:start w:val="1"/>
      <w:numFmt w:val="bullet"/>
      <w:lvlText w:val="•"/>
      <w:lvlJc w:val="left"/>
      <w:pPr>
        <w:tabs>
          <w:tab w:val="num" w:pos="5040"/>
        </w:tabs>
        <w:ind w:left="5040" w:hanging="360"/>
      </w:pPr>
      <w:rPr>
        <w:rFonts w:ascii="Arial" w:hAnsi="Arial" w:hint="default"/>
      </w:rPr>
    </w:lvl>
    <w:lvl w:ilvl="7" w:tplc="CEFC51F8" w:tentative="1">
      <w:start w:val="1"/>
      <w:numFmt w:val="bullet"/>
      <w:lvlText w:val="•"/>
      <w:lvlJc w:val="left"/>
      <w:pPr>
        <w:tabs>
          <w:tab w:val="num" w:pos="5760"/>
        </w:tabs>
        <w:ind w:left="5760" w:hanging="360"/>
      </w:pPr>
      <w:rPr>
        <w:rFonts w:ascii="Arial" w:hAnsi="Arial" w:hint="default"/>
      </w:rPr>
    </w:lvl>
    <w:lvl w:ilvl="8" w:tplc="25C4431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399363A"/>
    <w:multiLevelType w:val="hybridMultilevel"/>
    <w:tmpl w:val="CB762040"/>
    <w:lvl w:ilvl="0" w:tplc="04090015">
      <w:start w:val="1"/>
      <w:numFmt w:val="upperLetter"/>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8" w15:restartNumberingAfterBreak="0">
    <w:nsid w:val="365B0214"/>
    <w:multiLevelType w:val="hybridMultilevel"/>
    <w:tmpl w:val="DFC8AA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cs="Times New Roman" w:hint="default"/>
      </w:rPr>
    </w:lvl>
    <w:lvl w:ilvl="1" w:tplc="77985D3C">
      <w:start w:val="4081"/>
      <w:numFmt w:val="bullet"/>
      <w:lvlText w:val="•"/>
      <w:lvlJc w:val="left"/>
      <w:pPr>
        <w:tabs>
          <w:tab w:val="num" w:pos="1440"/>
        </w:tabs>
        <w:ind w:left="1440" w:hanging="360"/>
      </w:pPr>
      <w:rPr>
        <w:rFonts w:ascii="Arial" w:hAnsi="Arial" w:cs="Times New Roman" w:hint="default"/>
      </w:rPr>
    </w:lvl>
    <w:lvl w:ilvl="2" w:tplc="4BCEA168">
      <w:start w:val="4081"/>
      <w:numFmt w:val="bullet"/>
      <w:lvlText w:val="•"/>
      <w:lvlJc w:val="left"/>
      <w:pPr>
        <w:tabs>
          <w:tab w:val="num" w:pos="2160"/>
        </w:tabs>
        <w:ind w:left="2160" w:hanging="360"/>
      </w:pPr>
      <w:rPr>
        <w:rFonts w:ascii="Arial" w:hAnsi="Arial" w:cs="Times New Roman" w:hint="default"/>
      </w:rPr>
    </w:lvl>
    <w:lvl w:ilvl="3" w:tplc="B7887E3A">
      <w:start w:val="4081"/>
      <w:numFmt w:val="bullet"/>
      <w:lvlText w:val="•"/>
      <w:lvlJc w:val="left"/>
      <w:pPr>
        <w:tabs>
          <w:tab w:val="num" w:pos="2880"/>
        </w:tabs>
        <w:ind w:left="2880" w:hanging="360"/>
      </w:pPr>
      <w:rPr>
        <w:rFonts w:ascii="Arial" w:hAnsi="Arial" w:cs="Times New Roman" w:hint="default"/>
      </w:rPr>
    </w:lvl>
    <w:lvl w:ilvl="4" w:tplc="EA0095C4">
      <w:start w:val="4081"/>
      <w:numFmt w:val="bullet"/>
      <w:lvlText w:val="−"/>
      <w:lvlJc w:val="left"/>
      <w:pPr>
        <w:tabs>
          <w:tab w:val="num" w:pos="3600"/>
        </w:tabs>
        <w:ind w:left="3600" w:hanging="360"/>
      </w:pPr>
      <w:rPr>
        <w:rFonts w:ascii="Calibri" w:hAnsi="Calibri" w:hint="default"/>
      </w:rPr>
    </w:lvl>
    <w:lvl w:ilvl="5" w:tplc="2BC6BB8A">
      <w:start w:val="1"/>
      <w:numFmt w:val="bullet"/>
      <w:lvlText w:val="•"/>
      <w:lvlJc w:val="left"/>
      <w:pPr>
        <w:tabs>
          <w:tab w:val="num" w:pos="4320"/>
        </w:tabs>
        <w:ind w:left="4320" w:hanging="360"/>
      </w:pPr>
      <w:rPr>
        <w:rFonts w:ascii="Arial" w:hAnsi="Arial" w:cs="Times New Roman" w:hint="default"/>
      </w:rPr>
    </w:lvl>
    <w:lvl w:ilvl="6" w:tplc="44DADE66">
      <w:start w:val="1"/>
      <w:numFmt w:val="bullet"/>
      <w:lvlText w:val="•"/>
      <w:lvlJc w:val="left"/>
      <w:pPr>
        <w:tabs>
          <w:tab w:val="num" w:pos="5040"/>
        </w:tabs>
        <w:ind w:left="5040" w:hanging="360"/>
      </w:pPr>
      <w:rPr>
        <w:rFonts w:ascii="Arial" w:hAnsi="Arial" w:cs="Times New Roman" w:hint="default"/>
      </w:rPr>
    </w:lvl>
    <w:lvl w:ilvl="7" w:tplc="B0A89CE4">
      <w:start w:val="1"/>
      <w:numFmt w:val="bullet"/>
      <w:lvlText w:val="•"/>
      <w:lvlJc w:val="left"/>
      <w:pPr>
        <w:tabs>
          <w:tab w:val="num" w:pos="5760"/>
        </w:tabs>
        <w:ind w:left="5760" w:hanging="360"/>
      </w:pPr>
      <w:rPr>
        <w:rFonts w:ascii="Arial" w:hAnsi="Arial" w:cs="Times New Roman" w:hint="default"/>
      </w:rPr>
    </w:lvl>
    <w:lvl w:ilvl="8" w:tplc="73121E5E">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3F043C24"/>
    <w:multiLevelType w:val="hybridMultilevel"/>
    <w:tmpl w:val="1610C8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71279E"/>
    <w:multiLevelType w:val="hybridMultilevel"/>
    <w:tmpl w:val="05587DB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9324EA1"/>
    <w:multiLevelType w:val="hybridMultilevel"/>
    <w:tmpl w:val="97DA1C28"/>
    <w:lvl w:ilvl="0" w:tplc="D0F6ED78">
      <w:start w:val="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4EB23D2E"/>
    <w:multiLevelType w:val="hybridMultilevel"/>
    <w:tmpl w:val="AAFAE86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15:restartNumberingAfterBreak="0">
    <w:nsid w:val="4F8726E5"/>
    <w:multiLevelType w:val="hybridMultilevel"/>
    <w:tmpl w:val="C5109AC2"/>
    <w:lvl w:ilvl="0" w:tplc="8F0C52F0">
      <w:start w:val="1"/>
      <w:numFmt w:val="bullet"/>
      <w:lvlText w:val="•"/>
      <w:lvlJc w:val="left"/>
      <w:pPr>
        <w:tabs>
          <w:tab w:val="num" w:pos="720"/>
        </w:tabs>
        <w:ind w:left="720" w:hanging="360"/>
      </w:pPr>
      <w:rPr>
        <w:rFonts w:ascii="Arial" w:hAnsi="Arial" w:cs="Times New Roman" w:hint="default"/>
      </w:rPr>
    </w:lvl>
    <w:lvl w:ilvl="1" w:tplc="2AF8D54E">
      <w:start w:val="4035"/>
      <w:numFmt w:val="bullet"/>
      <w:lvlText w:val="•"/>
      <w:lvlJc w:val="left"/>
      <w:pPr>
        <w:tabs>
          <w:tab w:val="num" w:pos="1440"/>
        </w:tabs>
        <w:ind w:left="1440" w:hanging="360"/>
      </w:pPr>
      <w:rPr>
        <w:rFonts w:ascii="Arial" w:hAnsi="Arial" w:cs="Times New Roman" w:hint="default"/>
      </w:rPr>
    </w:lvl>
    <w:lvl w:ilvl="2" w:tplc="B13A95BA">
      <w:start w:val="1"/>
      <w:numFmt w:val="bullet"/>
      <w:lvlText w:val="•"/>
      <w:lvlJc w:val="left"/>
      <w:pPr>
        <w:tabs>
          <w:tab w:val="num" w:pos="2160"/>
        </w:tabs>
        <w:ind w:left="2160" w:hanging="360"/>
      </w:pPr>
      <w:rPr>
        <w:rFonts w:ascii="Arial" w:hAnsi="Arial" w:cs="Times New Roman" w:hint="default"/>
      </w:rPr>
    </w:lvl>
    <w:lvl w:ilvl="3" w:tplc="772A020E">
      <w:start w:val="1"/>
      <w:numFmt w:val="bullet"/>
      <w:lvlText w:val="•"/>
      <w:lvlJc w:val="left"/>
      <w:pPr>
        <w:tabs>
          <w:tab w:val="num" w:pos="2880"/>
        </w:tabs>
        <w:ind w:left="2880" w:hanging="360"/>
      </w:pPr>
      <w:rPr>
        <w:rFonts w:ascii="Arial" w:hAnsi="Arial" w:cs="Times New Roman" w:hint="default"/>
      </w:rPr>
    </w:lvl>
    <w:lvl w:ilvl="4" w:tplc="48C29CF6">
      <w:start w:val="1"/>
      <w:numFmt w:val="bullet"/>
      <w:lvlText w:val="•"/>
      <w:lvlJc w:val="left"/>
      <w:pPr>
        <w:tabs>
          <w:tab w:val="num" w:pos="3600"/>
        </w:tabs>
        <w:ind w:left="3600" w:hanging="360"/>
      </w:pPr>
      <w:rPr>
        <w:rFonts w:ascii="Arial" w:hAnsi="Arial" w:cs="Times New Roman" w:hint="default"/>
      </w:rPr>
    </w:lvl>
    <w:lvl w:ilvl="5" w:tplc="FE06DEA4">
      <w:start w:val="1"/>
      <w:numFmt w:val="bullet"/>
      <w:lvlText w:val="•"/>
      <w:lvlJc w:val="left"/>
      <w:pPr>
        <w:tabs>
          <w:tab w:val="num" w:pos="4320"/>
        </w:tabs>
        <w:ind w:left="4320" w:hanging="360"/>
      </w:pPr>
      <w:rPr>
        <w:rFonts w:ascii="Arial" w:hAnsi="Arial" w:cs="Times New Roman" w:hint="default"/>
      </w:rPr>
    </w:lvl>
    <w:lvl w:ilvl="6" w:tplc="DF8E0354">
      <w:start w:val="1"/>
      <w:numFmt w:val="bullet"/>
      <w:lvlText w:val="•"/>
      <w:lvlJc w:val="left"/>
      <w:pPr>
        <w:tabs>
          <w:tab w:val="num" w:pos="5040"/>
        </w:tabs>
        <w:ind w:left="5040" w:hanging="360"/>
      </w:pPr>
      <w:rPr>
        <w:rFonts w:ascii="Arial" w:hAnsi="Arial" w:cs="Times New Roman" w:hint="default"/>
      </w:rPr>
    </w:lvl>
    <w:lvl w:ilvl="7" w:tplc="2A4C2304">
      <w:start w:val="1"/>
      <w:numFmt w:val="bullet"/>
      <w:lvlText w:val="•"/>
      <w:lvlJc w:val="left"/>
      <w:pPr>
        <w:tabs>
          <w:tab w:val="num" w:pos="5760"/>
        </w:tabs>
        <w:ind w:left="5760" w:hanging="360"/>
      </w:pPr>
      <w:rPr>
        <w:rFonts w:ascii="Arial" w:hAnsi="Arial" w:cs="Times New Roman" w:hint="default"/>
      </w:rPr>
    </w:lvl>
    <w:lvl w:ilvl="8" w:tplc="A77A709A">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53496A8A"/>
    <w:multiLevelType w:val="hybridMultilevel"/>
    <w:tmpl w:val="E020CC90"/>
    <w:lvl w:ilvl="0" w:tplc="4372DEAE">
      <w:start w:val="1"/>
      <w:numFmt w:val="bullet"/>
      <w:lvlText w:val="•"/>
      <w:lvlJc w:val="left"/>
      <w:pPr>
        <w:tabs>
          <w:tab w:val="num" w:pos="360"/>
        </w:tabs>
        <w:ind w:left="360" w:hanging="360"/>
      </w:pPr>
      <w:rPr>
        <w:rFonts w:ascii="Arial" w:hAnsi="Arial" w:cs="Times New Roman" w:hint="default"/>
      </w:rPr>
    </w:lvl>
    <w:lvl w:ilvl="1" w:tplc="7DC8DC42">
      <w:start w:val="1"/>
      <w:numFmt w:val="bullet"/>
      <w:lvlText w:val="•"/>
      <w:lvlJc w:val="left"/>
      <w:pPr>
        <w:tabs>
          <w:tab w:val="num" w:pos="1080"/>
        </w:tabs>
        <w:ind w:left="1080" w:hanging="360"/>
      </w:pPr>
      <w:rPr>
        <w:rFonts w:ascii="Arial" w:hAnsi="Arial" w:cs="Times New Roman" w:hint="default"/>
      </w:rPr>
    </w:lvl>
    <w:lvl w:ilvl="2" w:tplc="6B7601BE">
      <w:start w:val="1"/>
      <w:numFmt w:val="bullet"/>
      <w:lvlText w:val="•"/>
      <w:lvlJc w:val="left"/>
      <w:pPr>
        <w:tabs>
          <w:tab w:val="num" w:pos="1800"/>
        </w:tabs>
        <w:ind w:left="1800" w:hanging="360"/>
      </w:pPr>
      <w:rPr>
        <w:rFonts w:ascii="Arial" w:hAnsi="Arial" w:cs="Times New Roman" w:hint="default"/>
      </w:rPr>
    </w:lvl>
    <w:lvl w:ilvl="3" w:tplc="3AB0EACE">
      <w:start w:val="1"/>
      <w:numFmt w:val="bullet"/>
      <w:lvlText w:val="•"/>
      <w:lvlJc w:val="left"/>
      <w:pPr>
        <w:tabs>
          <w:tab w:val="num" w:pos="2520"/>
        </w:tabs>
        <w:ind w:left="2520" w:hanging="360"/>
      </w:pPr>
      <w:rPr>
        <w:rFonts w:ascii="Arial" w:hAnsi="Arial" w:cs="Times New Roman" w:hint="default"/>
      </w:rPr>
    </w:lvl>
    <w:lvl w:ilvl="4" w:tplc="8E223A68">
      <w:start w:val="1"/>
      <w:numFmt w:val="bullet"/>
      <w:lvlText w:val="•"/>
      <w:lvlJc w:val="left"/>
      <w:pPr>
        <w:tabs>
          <w:tab w:val="num" w:pos="3240"/>
        </w:tabs>
        <w:ind w:left="3240" w:hanging="360"/>
      </w:pPr>
      <w:rPr>
        <w:rFonts w:ascii="Arial" w:hAnsi="Arial" w:cs="Times New Roman" w:hint="default"/>
      </w:rPr>
    </w:lvl>
    <w:lvl w:ilvl="5" w:tplc="0C66216C">
      <w:start w:val="1"/>
      <w:numFmt w:val="bullet"/>
      <w:lvlText w:val="•"/>
      <w:lvlJc w:val="left"/>
      <w:pPr>
        <w:tabs>
          <w:tab w:val="num" w:pos="3960"/>
        </w:tabs>
        <w:ind w:left="3960" w:hanging="360"/>
      </w:pPr>
      <w:rPr>
        <w:rFonts w:ascii="Arial" w:hAnsi="Arial" w:cs="Times New Roman" w:hint="default"/>
      </w:rPr>
    </w:lvl>
    <w:lvl w:ilvl="6" w:tplc="A216AEB4">
      <w:start w:val="1"/>
      <w:numFmt w:val="bullet"/>
      <w:lvlText w:val="•"/>
      <w:lvlJc w:val="left"/>
      <w:pPr>
        <w:tabs>
          <w:tab w:val="num" w:pos="4680"/>
        </w:tabs>
        <w:ind w:left="4680" w:hanging="360"/>
      </w:pPr>
      <w:rPr>
        <w:rFonts w:ascii="Arial" w:hAnsi="Arial" w:cs="Times New Roman" w:hint="default"/>
      </w:rPr>
    </w:lvl>
    <w:lvl w:ilvl="7" w:tplc="9F9EEA10">
      <w:start w:val="1"/>
      <w:numFmt w:val="bullet"/>
      <w:lvlText w:val="•"/>
      <w:lvlJc w:val="left"/>
      <w:pPr>
        <w:tabs>
          <w:tab w:val="num" w:pos="5400"/>
        </w:tabs>
        <w:ind w:left="5400" w:hanging="360"/>
      </w:pPr>
      <w:rPr>
        <w:rFonts w:ascii="Arial" w:hAnsi="Arial" w:cs="Times New Roman" w:hint="default"/>
      </w:rPr>
    </w:lvl>
    <w:lvl w:ilvl="8" w:tplc="15CEDCEE">
      <w:start w:val="1"/>
      <w:numFmt w:val="bullet"/>
      <w:lvlText w:val="•"/>
      <w:lvlJc w:val="left"/>
      <w:pPr>
        <w:tabs>
          <w:tab w:val="num" w:pos="6120"/>
        </w:tabs>
        <w:ind w:left="6120" w:hanging="360"/>
      </w:pPr>
      <w:rPr>
        <w:rFonts w:ascii="Arial" w:hAnsi="Arial" w:cs="Times New Roman" w:hint="default"/>
      </w:rPr>
    </w:lvl>
  </w:abstractNum>
  <w:abstractNum w:abstractNumId="27" w15:restartNumberingAfterBreak="0">
    <w:nsid w:val="58CA0BA7"/>
    <w:multiLevelType w:val="hybridMultilevel"/>
    <w:tmpl w:val="94A279C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6D6D53"/>
    <w:multiLevelType w:val="hybridMultilevel"/>
    <w:tmpl w:val="8B0A7148"/>
    <w:lvl w:ilvl="0" w:tplc="329E5EB8">
      <w:start w:val="1"/>
      <w:numFmt w:val="bullet"/>
      <w:lvlText w:val="•"/>
      <w:lvlJc w:val="left"/>
      <w:pPr>
        <w:tabs>
          <w:tab w:val="num" w:pos="720"/>
        </w:tabs>
        <w:ind w:left="720" w:hanging="360"/>
      </w:pPr>
      <w:rPr>
        <w:rFonts w:ascii="Arial" w:hAnsi="Arial" w:cs="Times New Roman" w:hint="default"/>
      </w:rPr>
    </w:lvl>
    <w:lvl w:ilvl="1" w:tplc="118EEEBA">
      <w:start w:val="2451"/>
      <w:numFmt w:val="bullet"/>
      <w:lvlText w:val="–"/>
      <w:lvlJc w:val="left"/>
      <w:pPr>
        <w:tabs>
          <w:tab w:val="num" w:pos="1440"/>
        </w:tabs>
        <w:ind w:left="1440" w:hanging="360"/>
      </w:pPr>
      <w:rPr>
        <w:rFonts w:ascii="Arial" w:hAnsi="Arial" w:cs="Times New Roman" w:hint="default"/>
      </w:rPr>
    </w:lvl>
    <w:lvl w:ilvl="2" w:tplc="DC10F054">
      <w:start w:val="1"/>
      <w:numFmt w:val="bullet"/>
      <w:lvlText w:val="•"/>
      <w:lvlJc w:val="left"/>
      <w:pPr>
        <w:tabs>
          <w:tab w:val="num" w:pos="2160"/>
        </w:tabs>
        <w:ind w:left="2160" w:hanging="360"/>
      </w:pPr>
      <w:rPr>
        <w:rFonts w:ascii="Arial" w:hAnsi="Arial" w:cs="Times New Roman" w:hint="default"/>
      </w:rPr>
    </w:lvl>
    <w:lvl w:ilvl="3" w:tplc="7AFA3F9C">
      <w:start w:val="1"/>
      <w:numFmt w:val="bullet"/>
      <w:lvlText w:val="•"/>
      <w:lvlJc w:val="left"/>
      <w:pPr>
        <w:tabs>
          <w:tab w:val="num" w:pos="2880"/>
        </w:tabs>
        <w:ind w:left="2880" w:hanging="360"/>
      </w:pPr>
      <w:rPr>
        <w:rFonts w:ascii="Arial" w:hAnsi="Arial" w:cs="Times New Roman" w:hint="default"/>
      </w:rPr>
    </w:lvl>
    <w:lvl w:ilvl="4" w:tplc="9934C8F8">
      <w:start w:val="1"/>
      <w:numFmt w:val="bullet"/>
      <w:lvlText w:val="•"/>
      <w:lvlJc w:val="left"/>
      <w:pPr>
        <w:tabs>
          <w:tab w:val="num" w:pos="3600"/>
        </w:tabs>
        <w:ind w:left="3600" w:hanging="360"/>
      </w:pPr>
      <w:rPr>
        <w:rFonts w:ascii="Arial" w:hAnsi="Arial" w:cs="Times New Roman" w:hint="default"/>
      </w:rPr>
    </w:lvl>
    <w:lvl w:ilvl="5" w:tplc="7482133A">
      <w:start w:val="1"/>
      <w:numFmt w:val="bullet"/>
      <w:lvlText w:val="•"/>
      <w:lvlJc w:val="left"/>
      <w:pPr>
        <w:tabs>
          <w:tab w:val="num" w:pos="4320"/>
        </w:tabs>
        <w:ind w:left="4320" w:hanging="360"/>
      </w:pPr>
      <w:rPr>
        <w:rFonts w:ascii="Arial" w:hAnsi="Arial" w:cs="Times New Roman" w:hint="default"/>
      </w:rPr>
    </w:lvl>
    <w:lvl w:ilvl="6" w:tplc="EC923C18">
      <w:start w:val="1"/>
      <w:numFmt w:val="bullet"/>
      <w:lvlText w:val="•"/>
      <w:lvlJc w:val="left"/>
      <w:pPr>
        <w:tabs>
          <w:tab w:val="num" w:pos="5040"/>
        </w:tabs>
        <w:ind w:left="5040" w:hanging="360"/>
      </w:pPr>
      <w:rPr>
        <w:rFonts w:ascii="Arial" w:hAnsi="Arial" w:cs="Times New Roman" w:hint="default"/>
      </w:rPr>
    </w:lvl>
    <w:lvl w:ilvl="7" w:tplc="C368EA26">
      <w:start w:val="1"/>
      <w:numFmt w:val="bullet"/>
      <w:lvlText w:val="•"/>
      <w:lvlJc w:val="left"/>
      <w:pPr>
        <w:tabs>
          <w:tab w:val="num" w:pos="5760"/>
        </w:tabs>
        <w:ind w:left="5760" w:hanging="360"/>
      </w:pPr>
      <w:rPr>
        <w:rFonts w:ascii="Arial" w:hAnsi="Arial" w:cs="Times New Roman" w:hint="default"/>
      </w:rPr>
    </w:lvl>
    <w:lvl w:ilvl="8" w:tplc="470A9C9E">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63C53E50"/>
    <w:multiLevelType w:val="hybridMultilevel"/>
    <w:tmpl w:val="A9CC9B8E"/>
    <w:lvl w:ilvl="0" w:tplc="00307A72">
      <w:start w:val="1"/>
      <w:numFmt w:val="bullet"/>
      <w:lvlText w:val="•"/>
      <w:lvlJc w:val="left"/>
      <w:pPr>
        <w:tabs>
          <w:tab w:val="num" w:pos="720"/>
        </w:tabs>
        <w:ind w:left="720" w:hanging="360"/>
      </w:pPr>
      <w:rPr>
        <w:rFonts w:ascii="Arial" w:hAnsi="Arial" w:hint="default"/>
      </w:rPr>
    </w:lvl>
    <w:lvl w:ilvl="1" w:tplc="DAFCB75E">
      <w:start w:val="3109"/>
      <w:numFmt w:val="bullet"/>
      <w:lvlText w:val="–"/>
      <w:lvlJc w:val="left"/>
      <w:pPr>
        <w:tabs>
          <w:tab w:val="num" w:pos="1440"/>
        </w:tabs>
        <w:ind w:left="1440" w:hanging="360"/>
      </w:pPr>
      <w:rPr>
        <w:rFonts w:ascii="Arial" w:hAnsi="Arial" w:hint="default"/>
      </w:rPr>
    </w:lvl>
    <w:lvl w:ilvl="2" w:tplc="3B9E8F7E">
      <w:start w:val="3109"/>
      <w:numFmt w:val="bullet"/>
      <w:lvlText w:val="•"/>
      <w:lvlJc w:val="left"/>
      <w:pPr>
        <w:tabs>
          <w:tab w:val="num" w:pos="2160"/>
        </w:tabs>
        <w:ind w:left="2160" w:hanging="360"/>
      </w:pPr>
      <w:rPr>
        <w:rFonts w:ascii="Arial" w:hAnsi="Arial" w:hint="default"/>
      </w:rPr>
    </w:lvl>
    <w:lvl w:ilvl="3" w:tplc="810E647C" w:tentative="1">
      <w:start w:val="1"/>
      <w:numFmt w:val="bullet"/>
      <w:lvlText w:val="•"/>
      <w:lvlJc w:val="left"/>
      <w:pPr>
        <w:tabs>
          <w:tab w:val="num" w:pos="2880"/>
        </w:tabs>
        <w:ind w:left="2880" w:hanging="360"/>
      </w:pPr>
      <w:rPr>
        <w:rFonts w:ascii="Arial" w:hAnsi="Arial" w:hint="default"/>
      </w:rPr>
    </w:lvl>
    <w:lvl w:ilvl="4" w:tplc="693216A0" w:tentative="1">
      <w:start w:val="1"/>
      <w:numFmt w:val="bullet"/>
      <w:lvlText w:val="•"/>
      <w:lvlJc w:val="left"/>
      <w:pPr>
        <w:tabs>
          <w:tab w:val="num" w:pos="3600"/>
        </w:tabs>
        <w:ind w:left="3600" w:hanging="360"/>
      </w:pPr>
      <w:rPr>
        <w:rFonts w:ascii="Arial" w:hAnsi="Arial" w:hint="default"/>
      </w:rPr>
    </w:lvl>
    <w:lvl w:ilvl="5" w:tplc="67AED8FE" w:tentative="1">
      <w:start w:val="1"/>
      <w:numFmt w:val="bullet"/>
      <w:lvlText w:val="•"/>
      <w:lvlJc w:val="left"/>
      <w:pPr>
        <w:tabs>
          <w:tab w:val="num" w:pos="4320"/>
        </w:tabs>
        <w:ind w:left="4320" w:hanging="360"/>
      </w:pPr>
      <w:rPr>
        <w:rFonts w:ascii="Arial" w:hAnsi="Arial" w:hint="default"/>
      </w:rPr>
    </w:lvl>
    <w:lvl w:ilvl="6" w:tplc="1052574A" w:tentative="1">
      <w:start w:val="1"/>
      <w:numFmt w:val="bullet"/>
      <w:lvlText w:val="•"/>
      <w:lvlJc w:val="left"/>
      <w:pPr>
        <w:tabs>
          <w:tab w:val="num" w:pos="5040"/>
        </w:tabs>
        <w:ind w:left="5040" w:hanging="360"/>
      </w:pPr>
      <w:rPr>
        <w:rFonts w:ascii="Arial" w:hAnsi="Arial" w:hint="default"/>
      </w:rPr>
    </w:lvl>
    <w:lvl w:ilvl="7" w:tplc="0CF2109C" w:tentative="1">
      <w:start w:val="1"/>
      <w:numFmt w:val="bullet"/>
      <w:lvlText w:val="•"/>
      <w:lvlJc w:val="left"/>
      <w:pPr>
        <w:tabs>
          <w:tab w:val="num" w:pos="5760"/>
        </w:tabs>
        <w:ind w:left="5760" w:hanging="360"/>
      </w:pPr>
      <w:rPr>
        <w:rFonts w:ascii="Arial" w:hAnsi="Arial" w:hint="default"/>
      </w:rPr>
    </w:lvl>
    <w:lvl w:ilvl="8" w:tplc="9F3ADA5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BD5F3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8710BE8"/>
    <w:multiLevelType w:val="hybridMultilevel"/>
    <w:tmpl w:val="0A7A627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BE202AA"/>
    <w:multiLevelType w:val="hybridMultilevel"/>
    <w:tmpl w:val="A26A5BEE"/>
    <w:lvl w:ilvl="0" w:tplc="1494C2E0">
      <w:start w:val="1"/>
      <w:numFmt w:val="bullet"/>
      <w:lvlText w:val="•"/>
      <w:lvlJc w:val="left"/>
      <w:pPr>
        <w:tabs>
          <w:tab w:val="num" w:pos="720"/>
        </w:tabs>
        <w:ind w:left="720" w:hanging="360"/>
      </w:pPr>
      <w:rPr>
        <w:rFonts w:ascii="Arial" w:hAnsi="Arial" w:hint="default"/>
      </w:rPr>
    </w:lvl>
    <w:lvl w:ilvl="1" w:tplc="BD52A0A4">
      <w:start w:val="3573"/>
      <w:numFmt w:val="bullet"/>
      <w:lvlText w:val="–"/>
      <w:lvlJc w:val="left"/>
      <w:pPr>
        <w:tabs>
          <w:tab w:val="num" w:pos="1440"/>
        </w:tabs>
        <w:ind w:left="1440" w:hanging="360"/>
      </w:pPr>
      <w:rPr>
        <w:rFonts w:ascii="Arial" w:hAnsi="Arial" w:hint="default"/>
      </w:rPr>
    </w:lvl>
    <w:lvl w:ilvl="2" w:tplc="61D48CCA">
      <w:start w:val="3573"/>
      <w:numFmt w:val="bullet"/>
      <w:lvlText w:val="•"/>
      <w:lvlJc w:val="left"/>
      <w:pPr>
        <w:tabs>
          <w:tab w:val="num" w:pos="2160"/>
        </w:tabs>
        <w:ind w:left="2160" w:hanging="360"/>
      </w:pPr>
      <w:rPr>
        <w:rFonts w:ascii="Arial" w:hAnsi="Arial" w:hint="default"/>
      </w:rPr>
    </w:lvl>
    <w:lvl w:ilvl="3" w:tplc="CAA2603C" w:tentative="1">
      <w:start w:val="1"/>
      <w:numFmt w:val="bullet"/>
      <w:lvlText w:val="•"/>
      <w:lvlJc w:val="left"/>
      <w:pPr>
        <w:tabs>
          <w:tab w:val="num" w:pos="2880"/>
        </w:tabs>
        <w:ind w:left="2880" w:hanging="360"/>
      </w:pPr>
      <w:rPr>
        <w:rFonts w:ascii="Arial" w:hAnsi="Arial" w:hint="default"/>
      </w:rPr>
    </w:lvl>
    <w:lvl w:ilvl="4" w:tplc="57C23556" w:tentative="1">
      <w:start w:val="1"/>
      <w:numFmt w:val="bullet"/>
      <w:lvlText w:val="•"/>
      <w:lvlJc w:val="left"/>
      <w:pPr>
        <w:tabs>
          <w:tab w:val="num" w:pos="3600"/>
        </w:tabs>
        <w:ind w:left="3600" w:hanging="360"/>
      </w:pPr>
      <w:rPr>
        <w:rFonts w:ascii="Arial" w:hAnsi="Arial" w:hint="default"/>
      </w:rPr>
    </w:lvl>
    <w:lvl w:ilvl="5" w:tplc="B2D08500" w:tentative="1">
      <w:start w:val="1"/>
      <w:numFmt w:val="bullet"/>
      <w:lvlText w:val="•"/>
      <w:lvlJc w:val="left"/>
      <w:pPr>
        <w:tabs>
          <w:tab w:val="num" w:pos="4320"/>
        </w:tabs>
        <w:ind w:left="4320" w:hanging="360"/>
      </w:pPr>
      <w:rPr>
        <w:rFonts w:ascii="Arial" w:hAnsi="Arial" w:hint="default"/>
      </w:rPr>
    </w:lvl>
    <w:lvl w:ilvl="6" w:tplc="C756AFDE" w:tentative="1">
      <w:start w:val="1"/>
      <w:numFmt w:val="bullet"/>
      <w:lvlText w:val="•"/>
      <w:lvlJc w:val="left"/>
      <w:pPr>
        <w:tabs>
          <w:tab w:val="num" w:pos="5040"/>
        </w:tabs>
        <w:ind w:left="5040" w:hanging="360"/>
      </w:pPr>
      <w:rPr>
        <w:rFonts w:ascii="Arial" w:hAnsi="Arial" w:hint="default"/>
      </w:rPr>
    </w:lvl>
    <w:lvl w:ilvl="7" w:tplc="8CBEB608" w:tentative="1">
      <w:start w:val="1"/>
      <w:numFmt w:val="bullet"/>
      <w:lvlText w:val="•"/>
      <w:lvlJc w:val="left"/>
      <w:pPr>
        <w:tabs>
          <w:tab w:val="num" w:pos="5760"/>
        </w:tabs>
        <w:ind w:left="5760" w:hanging="360"/>
      </w:pPr>
      <w:rPr>
        <w:rFonts w:ascii="Arial" w:hAnsi="Arial" w:hint="default"/>
      </w:rPr>
    </w:lvl>
    <w:lvl w:ilvl="8" w:tplc="E4808C7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cs="Times New Roman" w:hint="default"/>
      </w:rPr>
    </w:lvl>
    <w:lvl w:ilvl="1" w:tplc="2D06A6A6">
      <w:start w:val="4025"/>
      <w:numFmt w:val="bullet"/>
      <w:lvlText w:val="–"/>
      <w:lvlJc w:val="left"/>
      <w:pPr>
        <w:tabs>
          <w:tab w:val="num" w:pos="1440"/>
        </w:tabs>
        <w:ind w:left="1440" w:hanging="360"/>
      </w:pPr>
      <w:rPr>
        <w:rFonts w:ascii="Arial" w:hAnsi="Arial" w:cs="Times New Roman" w:hint="default"/>
      </w:rPr>
    </w:lvl>
    <w:lvl w:ilvl="2" w:tplc="DE2E386A">
      <w:start w:val="4025"/>
      <w:numFmt w:val="bullet"/>
      <w:lvlText w:val="•"/>
      <w:lvlJc w:val="left"/>
      <w:pPr>
        <w:tabs>
          <w:tab w:val="num" w:pos="2160"/>
        </w:tabs>
        <w:ind w:left="2160" w:hanging="360"/>
      </w:pPr>
      <w:rPr>
        <w:rFonts w:ascii="Arial" w:hAnsi="Arial" w:cs="Times New Roman" w:hint="default"/>
      </w:rPr>
    </w:lvl>
    <w:lvl w:ilvl="3" w:tplc="A6F21E96">
      <w:start w:val="1"/>
      <w:numFmt w:val="bullet"/>
      <w:lvlText w:val="•"/>
      <w:lvlJc w:val="left"/>
      <w:pPr>
        <w:tabs>
          <w:tab w:val="num" w:pos="2880"/>
        </w:tabs>
        <w:ind w:left="2880" w:hanging="360"/>
      </w:pPr>
      <w:rPr>
        <w:rFonts w:ascii="Arial" w:hAnsi="Arial" w:cs="Times New Roman" w:hint="default"/>
      </w:rPr>
    </w:lvl>
    <w:lvl w:ilvl="4" w:tplc="D92C1516">
      <w:start w:val="1"/>
      <w:numFmt w:val="bullet"/>
      <w:lvlText w:val="•"/>
      <w:lvlJc w:val="left"/>
      <w:pPr>
        <w:tabs>
          <w:tab w:val="num" w:pos="3600"/>
        </w:tabs>
        <w:ind w:left="3600" w:hanging="360"/>
      </w:pPr>
      <w:rPr>
        <w:rFonts w:ascii="Arial" w:hAnsi="Arial" w:cs="Times New Roman" w:hint="default"/>
      </w:rPr>
    </w:lvl>
    <w:lvl w:ilvl="5" w:tplc="3F30A164">
      <w:start w:val="1"/>
      <w:numFmt w:val="bullet"/>
      <w:lvlText w:val="•"/>
      <w:lvlJc w:val="left"/>
      <w:pPr>
        <w:tabs>
          <w:tab w:val="num" w:pos="4320"/>
        </w:tabs>
        <w:ind w:left="4320" w:hanging="360"/>
      </w:pPr>
      <w:rPr>
        <w:rFonts w:ascii="Arial" w:hAnsi="Arial" w:cs="Times New Roman" w:hint="default"/>
      </w:rPr>
    </w:lvl>
    <w:lvl w:ilvl="6" w:tplc="FA984E70">
      <w:start w:val="1"/>
      <w:numFmt w:val="bullet"/>
      <w:lvlText w:val="•"/>
      <w:lvlJc w:val="left"/>
      <w:pPr>
        <w:tabs>
          <w:tab w:val="num" w:pos="5040"/>
        </w:tabs>
        <w:ind w:left="5040" w:hanging="360"/>
      </w:pPr>
      <w:rPr>
        <w:rFonts w:ascii="Arial" w:hAnsi="Arial" w:cs="Times New Roman" w:hint="default"/>
      </w:rPr>
    </w:lvl>
    <w:lvl w:ilvl="7" w:tplc="8AAA26B6">
      <w:start w:val="1"/>
      <w:numFmt w:val="bullet"/>
      <w:lvlText w:val="•"/>
      <w:lvlJc w:val="left"/>
      <w:pPr>
        <w:tabs>
          <w:tab w:val="num" w:pos="5760"/>
        </w:tabs>
        <w:ind w:left="5760" w:hanging="360"/>
      </w:pPr>
      <w:rPr>
        <w:rFonts w:ascii="Arial" w:hAnsi="Arial" w:cs="Times New Roman" w:hint="default"/>
      </w:rPr>
    </w:lvl>
    <w:lvl w:ilvl="8" w:tplc="83028728">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76B4251C"/>
    <w:multiLevelType w:val="hybridMultilevel"/>
    <w:tmpl w:val="B6F8F41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EB37D8D"/>
    <w:multiLevelType w:val="hybridMultilevel"/>
    <w:tmpl w:val="6AACA8C2"/>
    <w:lvl w:ilvl="0" w:tplc="DE0C07B0">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FB47AD3"/>
    <w:multiLevelType w:val="hybridMultilevel"/>
    <w:tmpl w:val="6AD84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7"/>
  </w:num>
  <w:num w:numId="3">
    <w:abstractNumId w:val="28"/>
  </w:num>
  <w:num w:numId="4">
    <w:abstractNumId w:val="38"/>
  </w:num>
  <w:num w:numId="5">
    <w:abstractNumId w:val="13"/>
  </w:num>
  <w:num w:numId="6">
    <w:abstractNumId w:val="2"/>
  </w:num>
  <w:num w:numId="7">
    <w:abstractNumId w:val="8"/>
  </w:num>
  <w:num w:numId="8">
    <w:abstractNumId w:val="5"/>
  </w:num>
  <w:num w:numId="9">
    <w:abstractNumId w:val="18"/>
  </w:num>
  <w:num w:numId="10">
    <w:abstractNumId w:val="14"/>
  </w:num>
  <w:num w:numId="11">
    <w:abstractNumId w:val="37"/>
  </w:num>
  <w:num w:numId="12">
    <w:abstractNumId w:val="34"/>
  </w:num>
  <w:num w:numId="13">
    <w:abstractNumId w:val="9"/>
  </w:num>
  <w:num w:numId="14">
    <w:abstractNumId w:val="32"/>
  </w:num>
  <w:num w:numId="15">
    <w:abstractNumId w:val="33"/>
  </w:num>
  <w:num w:numId="16">
    <w:abstractNumId w:val="6"/>
  </w:num>
  <w:num w:numId="17">
    <w:abstractNumId w:val="15"/>
  </w:num>
  <w:num w:numId="18">
    <w:abstractNumId w:val="22"/>
  </w:num>
  <w:num w:numId="19">
    <w:abstractNumId w:val="12"/>
  </w:num>
  <w:num w:numId="20">
    <w:abstractNumId w:val="39"/>
  </w:num>
  <w:num w:numId="21">
    <w:abstractNumId w:val="24"/>
  </w:num>
  <w:num w:numId="22">
    <w:abstractNumId w:val="1"/>
  </w:num>
  <w:num w:numId="23">
    <w:abstractNumId w:val="17"/>
  </w:num>
  <w:num w:numId="24">
    <w:abstractNumId w:val="35"/>
  </w:num>
  <w:num w:numId="25">
    <w:abstractNumId w:val="29"/>
  </w:num>
  <w:num w:numId="26">
    <w:abstractNumId w:val="31"/>
  </w:num>
  <w:num w:numId="27">
    <w:abstractNumId w:val="16"/>
  </w:num>
  <w:num w:numId="28">
    <w:abstractNumId w:val="27"/>
  </w:num>
  <w:num w:numId="29">
    <w:abstractNumId w:val="3"/>
  </w:num>
  <w:num w:numId="30">
    <w:abstractNumId w:val="36"/>
  </w:num>
  <w:num w:numId="31">
    <w:abstractNumId w:val="25"/>
  </w:num>
  <w:num w:numId="32">
    <w:abstractNumId w:val="10"/>
  </w:num>
  <w:num w:numId="33">
    <w:abstractNumId w:val="19"/>
  </w:num>
  <w:num w:numId="34">
    <w:abstractNumId w:val="26"/>
  </w:num>
  <w:num w:numId="35">
    <w:abstractNumId w:val="11"/>
  </w:num>
  <w:num w:numId="36">
    <w:abstractNumId w:val="30"/>
  </w:num>
  <w:num w:numId="37">
    <w:abstractNumId w:val="23"/>
  </w:num>
  <w:num w:numId="38">
    <w:abstractNumId w:val="23"/>
  </w:num>
  <w:num w:numId="39">
    <w:abstractNumId w:val="28"/>
  </w:num>
  <w:num w:numId="40">
    <w:abstractNumId w:val="0"/>
  </w:num>
  <w:num w:numId="41">
    <w:abstractNumId w:val="4"/>
  </w:num>
  <w:num w:numId="42">
    <w:abstractNumId w:val="28"/>
  </w:num>
  <w:num w:numId="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0298"/>
    <w:rsid w:val="00001127"/>
    <w:rsid w:val="000052FF"/>
    <w:rsid w:val="0001485D"/>
    <w:rsid w:val="000149EC"/>
    <w:rsid w:val="00021782"/>
    <w:rsid w:val="00024D8F"/>
    <w:rsid w:val="00030016"/>
    <w:rsid w:val="0003047E"/>
    <w:rsid w:val="00032D47"/>
    <w:rsid w:val="0004375F"/>
    <w:rsid w:val="00046BC3"/>
    <w:rsid w:val="00051B4B"/>
    <w:rsid w:val="00054618"/>
    <w:rsid w:val="000550BC"/>
    <w:rsid w:val="00062C0F"/>
    <w:rsid w:val="00064174"/>
    <w:rsid w:val="00065C45"/>
    <w:rsid w:val="0007137B"/>
    <w:rsid w:val="000730C9"/>
    <w:rsid w:val="0007575F"/>
    <w:rsid w:val="00075FD1"/>
    <w:rsid w:val="0008141A"/>
    <w:rsid w:val="000821CE"/>
    <w:rsid w:val="00084721"/>
    <w:rsid w:val="00085800"/>
    <w:rsid w:val="000865E3"/>
    <w:rsid w:val="00095684"/>
    <w:rsid w:val="000A36A9"/>
    <w:rsid w:val="000A53F4"/>
    <w:rsid w:val="000B0720"/>
    <w:rsid w:val="000B0958"/>
    <w:rsid w:val="000B455B"/>
    <w:rsid w:val="000B695D"/>
    <w:rsid w:val="000C57B9"/>
    <w:rsid w:val="000C785E"/>
    <w:rsid w:val="000D02F7"/>
    <w:rsid w:val="000E2254"/>
    <w:rsid w:val="000E2603"/>
    <w:rsid w:val="000E29D8"/>
    <w:rsid w:val="000E51EC"/>
    <w:rsid w:val="000E714A"/>
    <w:rsid w:val="000F6995"/>
    <w:rsid w:val="0010303E"/>
    <w:rsid w:val="00106F62"/>
    <w:rsid w:val="0011327D"/>
    <w:rsid w:val="00116DA6"/>
    <w:rsid w:val="00116E27"/>
    <w:rsid w:val="00134C08"/>
    <w:rsid w:val="001356E5"/>
    <w:rsid w:val="001417A8"/>
    <w:rsid w:val="00143A0C"/>
    <w:rsid w:val="00153793"/>
    <w:rsid w:val="00172743"/>
    <w:rsid w:val="001766B8"/>
    <w:rsid w:val="0017741C"/>
    <w:rsid w:val="0019255B"/>
    <w:rsid w:val="001A1BC0"/>
    <w:rsid w:val="001A303A"/>
    <w:rsid w:val="001A5921"/>
    <w:rsid w:val="001A6212"/>
    <w:rsid w:val="001B731B"/>
    <w:rsid w:val="001C187B"/>
    <w:rsid w:val="001C19C7"/>
    <w:rsid w:val="001C1D96"/>
    <w:rsid w:val="001C2752"/>
    <w:rsid w:val="001C34DD"/>
    <w:rsid w:val="001D1CD8"/>
    <w:rsid w:val="001D7154"/>
    <w:rsid w:val="001E0CE1"/>
    <w:rsid w:val="001E3E45"/>
    <w:rsid w:val="001E58CC"/>
    <w:rsid w:val="001F385C"/>
    <w:rsid w:val="001F59ED"/>
    <w:rsid w:val="001F5A74"/>
    <w:rsid w:val="002001F1"/>
    <w:rsid w:val="00201958"/>
    <w:rsid w:val="00210AE0"/>
    <w:rsid w:val="00211D37"/>
    <w:rsid w:val="00212204"/>
    <w:rsid w:val="00214304"/>
    <w:rsid w:val="00216763"/>
    <w:rsid w:val="00222269"/>
    <w:rsid w:val="002224E8"/>
    <w:rsid w:val="00233D70"/>
    <w:rsid w:val="00235373"/>
    <w:rsid w:val="00240C25"/>
    <w:rsid w:val="00244175"/>
    <w:rsid w:val="00246D61"/>
    <w:rsid w:val="0024786A"/>
    <w:rsid w:val="0025196A"/>
    <w:rsid w:val="00251994"/>
    <w:rsid w:val="00256BCF"/>
    <w:rsid w:val="00262116"/>
    <w:rsid w:val="00265011"/>
    <w:rsid w:val="002670F8"/>
    <w:rsid w:val="00267362"/>
    <w:rsid w:val="00270C24"/>
    <w:rsid w:val="002725E8"/>
    <w:rsid w:val="00272EC2"/>
    <w:rsid w:val="002739AB"/>
    <w:rsid w:val="00273B2A"/>
    <w:rsid w:val="002832A5"/>
    <w:rsid w:val="00283961"/>
    <w:rsid w:val="00291016"/>
    <w:rsid w:val="0029564D"/>
    <w:rsid w:val="002968D7"/>
    <w:rsid w:val="00297225"/>
    <w:rsid w:val="00297995"/>
    <w:rsid w:val="002A005E"/>
    <w:rsid w:val="002B1229"/>
    <w:rsid w:val="002C0488"/>
    <w:rsid w:val="002C4097"/>
    <w:rsid w:val="002D3D42"/>
    <w:rsid w:val="002D479B"/>
    <w:rsid w:val="002D6EC9"/>
    <w:rsid w:val="002D787B"/>
    <w:rsid w:val="002E28F4"/>
    <w:rsid w:val="002E348C"/>
    <w:rsid w:val="002E62A8"/>
    <w:rsid w:val="002F4447"/>
    <w:rsid w:val="002F4C92"/>
    <w:rsid w:val="003015F7"/>
    <w:rsid w:val="00315DC4"/>
    <w:rsid w:val="00317020"/>
    <w:rsid w:val="00320B4D"/>
    <w:rsid w:val="00326FF6"/>
    <w:rsid w:val="00327A22"/>
    <w:rsid w:val="0033278E"/>
    <w:rsid w:val="00334843"/>
    <w:rsid w:val="00342130"/>
    <w:rsid w:val="00346605"/>
    <w:rsid w:val="0035318F"/>
    <w:rsid w:val="0036306A"/>
    <w:rsid w:val="003633FC"/>
    <w:rsid w:val="003727DB"/>
    <w:rsid w:val="00372F4C"/>
    <w:rsid w:val="0038240A"/>
    <w:rsid w:val="00383782"/>
    <w:rsid w:val="00384225"/>
    <w:rsid w:val="003859F3"/>
    <w:rsid w:val="00386642"/>
    <w:rsid w:val="003908FF"/>
    <w:rsid w:val="00393980"/>
    <w:rsid w:val="003A298A"/>
    <w:rsid w:val="003A52ED"/>
    <w:rsid w:val="003A566A"/>
    <w:rsid w:val="003B1EC9"/>
    <w:rsid w:val="003B2F27"/>
    <w:rsid w:val="003B625D"/>
    <w:rsid w:val="003B68E5"/>
    <w:rsid w:val="003D1148"/>
    <w:rsid w:val="003E1304"/>
    <w:rsid w:val="003E3C2B"/>
    <w:rsid w:val="003E7121"/>
    <w:rsid w:val="003F0731"/>
    <w:rsid w:val="003F33B4"/>
    <w:rsid w:val="003F3579"/>
    <w:rsid w:val="003F7ED1"/>
    <w:rsid w:val="00401F8F"/>
    <w:rsid w:val="00405F6D"/>
    <w:rsid w:val="00423E79"/>
    <w:rsid w:val="00424124"/>
    <w:rsid w:val="00425E73"/>
    <w:rsid w:val="00434212"/>
    <w:rsid w:val="00434AB2"/>
    <w:rsid w:val="0043625B"/>
    <w:rsid w:val="00436C67"/>
    <w:rsid w:val="0043789C"/>
    <w:rsid w:val="00437C68"/>
    <w:rsid w:val="00440F6E"/>
    <w:rsid w:val="00441B76"/>
    <w:rsid w:val="00443645"/>
    <w:rsid w:val="00443CD6"/>
    <w:rsid w:val="0044636A"/>
    <w:rsid w:val="00452C74"/>
    <w:rsid w:val="004552C9"/>
    <w:rsid w:val="004607AC"/>
    <w:rsid w:val="0046127E"/>
    <w:rsid w:val="004678E1"/>
    <w:rsid w:val="00473281"/>
    <w:rsid w:val="00473B68"/>
    <w:rsid w:val="004825F4"/>
    <w:rsid w:val="0048301B"/>
    <w:rsid w:val="004833DD"/>
    <w:rsid w:val="00487F1A"/>
    <w:rsid w:val="004904D3"/>
    <w:rsid w:val="00491ACD"/>
    <w:rsid w:val="004A5ABE"/>
    <w:rsid w:val="004A6424"/>
    <w:rsid w:val="004A69D0"/>
    <w:rsid w:val="004A73A9"/>
    <w:rsid w:val="004B623D"/>
    <w:rsid w:val="004B6E00"/>
    <w:rsid w:val="004C186B"/>
    <w:rsid w:val="004C2A57"/>
    <w:rsid w:val="004C3F2E"/>
    <w:rsid w:val="004C4856"/>
    <w:rsid w:val="004D054E"/>
    <w:rsid w:val="004D3537"/>
    <w:rsid w:val="004D780D"/>
    <w:rsid w:val="004D7CF8"/>
    <w:rsid w:val="004E1D73"/>
    <w:rsid w:val="004E55E0"/>
    <w:rsid w:val="004E566A"/>
    <w:rsid w:val="004E5DA6"/>
    <w:rsid w:val="004E6BC0"/>
    <w:rsid w:val="004E6D3B"/>
    <w:rsid w:val="005025C4"/>
    <w:rsid w:val="005055A6"/>
    <w:rsid w:val="00506906"/>
    <w:rsid w:val="00507060"/>
    <w:rsid w:val="00510557"/>
    <w:rsid w:val="005116E0"/>
    <w:rsid w:val="0051179B"/>
    <w:rsid w:val="00520FC8"/>
    <w:rsid w:val="00523623"/>
    <w:rsid w:val="00537C70"/>
    <w:rsid w:val="00543ED4"/>
    <w:rsid w:val="005448C6"/>
    <w:rsid w:val="0054616C"/>
    <w:rsid w:val="0056238B"/>
    <w:rsid w:val="00563529"/>
    <w:rsid w:val="00565BDB"/>
    <w:rsid w:val="005758E7"/>
    <w:rsid w:val="00575A37"/>
    <w:rsid w:val="005778C8"/>
    <w:rsid w:val="00577CF5"/>
    <w:rsid w:val="0058120D"/>
    <w:rsid w:val="00590557"/>
    <w:rsid w:val="005917D6"/>
    <w:rsid w:val="0059321E"/>
    <w:rsid w:val="005A0529"/>
    <w:rsid w:val="005B1400"/>
    <w:rsid w:val="005B47BD"/>
    <w:rsid w:val="005B6FA6"/>
    <w:rsid w:val="005C4B5C"/>
    <w:rsid w:val="005D2C51"/>
    <w:rsid w:val="005D4116"/>
    <w:rsid w:val="005E59D1"/>
    <w:rsid w:val="005E76AF"/>
    <w:rsid w:val="005F10B2"/>
    <w:rsid w:val="005F613D"/>
    <w:rsid w:val="0060190B"/>
    <w:rsid w:val="00603015"/>
    <w:rsid w:val="0060603E"/>
    <w:rsid w:val="006223D0"/>
    <w:rsid w:val="0062355D"/>
    <w:rsid w:val="00627D08"/>
    <w:rsid w:val="00632893"/>
    <w:rsid w:val="00634707"/>
    <w:rsid w:val="006412CE"/>
    <w:rsid w:val="00644034"/>
    <w:rsid w:val="00646D77"/>
    <w:rsid w:val="006515E6"/>
    <w:rsid w:val="00652AC8"/>
    <w:rsid w:val="00655590"/>
    <w:rsid w:val="0066157D"/>
    <w:rsid w:val="006627B9"/>
    <w:rsid w:val="00674395"/>
    <w:rsid w:val="006756FB"/>
    <w:rsid w:val="00684560"/>
    <w:rsid w:val="006852D4"/>
    <w:rsid w:val="00685E11"/>
    <w:rsid w:val="00695822"/>
    <w:rsid w:val="006A0EDC"/>
    <w:rsid w:val="006A2D2E"/>
    <w:rsid w:val="006A2F4B"/>
    <w:rsid w:val="006A3E35"/>
    <w:rsid w:val="006C07D0"/>
    <w:rsid w:val="006C452E"/>
    <w:rsid w:val="006D1E33"/>
    <w:rsid w:val="006D25D0"/>
    <w:rsid w:val="006D40EA"/>
    <w:rsid w:val="006D44F3"/>
    <w:rsid w:val="006E3FF0"/>
    <w:rsid w:val="006E790B"/>
    <w:rsid w:val="006F055C"/>
    <w:rsid w:val="00707BF0"/>
    <w:rsid w:val="00707D20"/>
    <w:rsid w:val="00721AD7"/>
    <w:rsid w:val="007225EF"/>
    <w:rsid w:val="00722BA6"/>
    <w:rsid w:val="00723DC5"/>
    <w:rsid w:val="00724D9F"/>
    <w:rsid w:val="00727952"/>
    <w:rsid w:val="007338D6"/>
    <w:rsid w:val="00740B36"/>
    <w:rsid w:val="00747A6F"/>
    <w:rsid w:val="0075260C"/>
    <w:rsid w:val="00752E62"/>
    <w:rsid w:val="00754F88"/>
    <w:rsid w:val="0075622F"/>
    <w:rsid w:val="0076067D"/>
    <w:rsid w:val="00775AAE"/>
    <w:rsid w:val="00782CDC"/>
    <w:rsid w:val="00782F44"/>
    <w:rsid w:val="00783676"/>
    <w:rsid w:val="007839F9"/>
    <w:rsid w:val="00790F25"/>
    <w:rsid w:val="00791183"/>
    <w:rsid w:val="007A2765"/>
    <w:rsid w:val="007A3629"/>
    <w:rsid w:val="007A6747"/>
    <w:rsid w:val="007B13E5"/>
    <w:rsid w:val="007B2F6B"/>
    <w:rsid w:val="007B473A"/>
    <w:rsid w:val="007C3793"/>
    <w:rsid w:val="007C66C7"/>
    <w:rsid w:val="007C7A11"/>
    <w:rsid w:val="007D2C48"/>
    <w:rsid w:val="007E546F"/>
    <w:rsid w:val="007E69F8"/>
    <w:rsid w:val="007F1928"/>
    <w:rsid w:val="007F392E"/>
    <w:rsid w:val="008007CC"/>
    <w:rsid w:val="00811A1B"/>
    <w:rsid w:val="00824DED"/>
    <w:rsid w:val="00826E5A"/>
    <w:rsid w:val="00836669"/>
    <w:rsid w:val="00837F53"/>
    <w:rsid w:val="008437B2"/>
    <w:rsid w:val="00843F1C"/>
    <w:rsid w:val="00846707"/>
    <w:rsid w:val="00847E82"/>
    <w:rsid w:val="00850DCE"/>
    <w:rsid w:val="00851DB7"/>
    <w:rsid w:val="008529E0"/>
    <w:rsid w:val="00854FBB"/>
    <w:rsid w:val="008661BA"/>
    <w:rsid w:val="00871CA8"/>
    <w:rsid w:val="0087350C"/>
    <w:rsid w:val="00882D49"/>
    <w:rsid w:val="00884A1E"/>
    <w:rsid w:val="00885004"/>
    <w:rsid w:val="00887AB4"/>
    <w:rsid w:val="00894290"/>
    <w:rsid w:val="00894630"/>
    <w:rsid w:val="008971E9"/>
    <w:rsid w:val="008A227A"/>
    <w:rsid w:val="008A25A1"/>
    <w:rsid w:val="008A4697"/>
    <w:rsid w:val="008A5ECD"/>
    <w:rsid w:val="008B5783"/>
    <w:rsid w:val="008C1AFD"/>
    <w:rsid w:val="008C382C"/>
    <w:rsid w:val="008D1AEF"/>
    <w:rsid w:val="008E6B52"/>
    <w:rsid w:val="008E7BE4"/>
    <w:rsid w:val="008F1DE1"/>
    <w:rsid w:val="008F2066"/>
    <w:rsid w:val="00912D25"/>
    <w:rsid w:val="00915D0F"/>
    <w:rsid w:val="009211A7"/>
    <w:rsid w:val="0092403B"/>
    <w:rsid w:val="0092430D"/>
    <w:rsid w:val="00925FA2"/>
    <w:rsid w:val="00926A9C"/>
    <w:rsid w:val="00927803"/>
    <w:rsid w:val="00945A1B"/>
    <w:rsid w:val="00951527"/>
    <w:rsid w:val="009564A2"/>
    <w:rsid w:val="00957CD1"/>
    <w:rsid w:val="00961DB2"/>
    <w:rsid w:val="0096246D"/>
    <w:rsid w:val="009633A9"/>
    <w:rsid w:val="0097292F"/>
    <w:rsid w:val="009741D9"/>
    <w:rsid w:val="00980AE8"/>
    <w:rsid w:val="00982CA4"/>
    <w:rsid w:val="00984235"/>
    <w:rsid w:val="0098791C"/>
    <w:rsid w:val="0099114F"/>
    <w:rsid w:val="00993D92"/>
    <w:rsid w:val="009956FC"/>
    <w:rsid w:val="00996CBA"/>
    <w:rsid w:val="009A4D63"/>
    <w:rsid w:val="009A54FC"/>
    <w:rsid w:val="009A74B7"/>
    <w:rsid w:val="009B08C5"/>
    <w:rsid w:val="009B52C0"/>
    <w:rsid w:val="009C2167"/>
    <w:rsid w:val="009C5D7C"/>
    <w:rsid w:val="009D0F50"/>
    <w:rsid w:val="009D46C1"/>
    <w:rsid w:val="009D6B01"/>
    <w:rsid w:val="009E0D02"/>
    <w:rsid w:val="009E3A88"/>
    <w:rsid w:val="009E41FF"/>
    <w:rsid w:val="009E5838"/>
    <w:rsid w:val="009E5FF7"/>
    <w:rsid w:val="009E6CF7"/>
    <w:rsid w:val="009F0907"/>
    <w:rsid w:val="009F501E"/>
    <w:rsid w:val="009F768E"/>
    <w:rsid w:val="00A01AF0"/>
    <w:rsid w:val="00A10442"/>
    <w:rsid w:val="00A11704"/>
    <w:rsid w:val="00A11840"/>
    <w:rsid w:val="00A16736"/>
    <w:rsid w:val="00A167FA"/>
    <w:rsid w:val="00A22C61"/>
    <w:rsid w:val="00A244B9"/>
    <w:rsid w:val="00A247AB"/>
    <w:rsid w:val="00A262E4"/>
    <w:rsid w:val="00A36A83"/>
    <w:rsid w:val="00A400E3"/>
    <w:rsid w:val="00A41CF3"/>
    <w:rsid w:val="00A42D63"/>
    <w:rsid w:val="00A4674D"/>
    <w:rsid w:val="00A55FF3"/>
    <w:rsid w:val="00A603CE"/>
    <w:rsid w:val="00A60A9B"/>
    <w:rsid w:val="00A64CF7"/>
    <w:rsid w:val="00A66A04"/>
    <w:rsid w:val="00A717FF"/>
    <w:rsid w:val="00A8721E"/>
    <w:rsid w:val="00A87EDE"/>
    <w:rsid w:val="00A92495"/>
    <w:rsid w:val="00A94695"/>
    <w:rsid w:val="00AA12FA"/>
    <w:rsid w:val="00AA5899"/>
    <w:rsid w:val="00AA7896"/>
    <w:rsid w:val="00AB050D"/>
    <w:rsid w:val="00AB7FC6"/>
    <w:rsid w:val="00AD115D"/>
    <w:rsid w:val="00AD16AE"/>
    <w:rsid w:val="00AD4431"/>
    <w:rsid w:val="00AD6C53"/>
    <w:rsid w:val="00AD7652"/>
    <w:rsid w:val="00AE644B"/>
    <w:rsid w:val="00AE72F4"/>
    <w:rsid w:val="00AF2299"/>
    <w:rsid w:val="00AF3194"/>
    <w:rsid w:val="00AF65DE"/>
    <w:rsid w:val="00B04278"/>
    <w:rsid w:val="00B12672"/>
    <w:rsid w:val="00B236A0"/>
    <w:rsid w:val="00B2434D"/>
    <w:rsid w:val="00B24AE5"/>
    <w:rsid w:val="00B24D29"/>
    <w:rsid w:val="00B27201"/>
    <w:rsid w:val="00B34716"/>
    <w:rsid w:val="00B41AB2"/>
    <w:rsid w:val="00B56429"/>
    <w:rsid w:val="00B61A13"/>
    <w:rsid w:val="00B633E5"/>
    <w:rsid w:val="00B6467D"/>
    <w:rsid w:val="00B648CA"/>
    <w:rsid w:val="00B74894"/>
    <w:rsid w:val="00B801DE"/>
    <w:rsid w:val="00B82B83"/>
    <w:rsid w:val="00B86398"/>
    <w:rsid w:val="00B87D25"/>
    <w:rsid w:val="00B909F7"/>
    <w:rsid w:val="00B9666C"/>
    <w:rsid w:val="00B96A24"/>
    <w:rsid w:val="00BA2D94"/>
    <w:rsid w:val="00BA677D"/>
    <w:rsid w:val="00BB1877"/>
    <w:rsid w:val="00BB26FF"/>
    <w:rsid w:val="00BC204D"/>
    <w:rsid w:val="00BC2FF6"/>
    <w:rsid w:val="00BC6F83"/>
    <w:rsid w:val="00BD34B4"/>
    <w:rsid w:val="00BD3B41"/>
    <w:rsid w:val="00BE3908"/>
    <w:rsid w:val="00BE5264"/>
    <w:rsid w:val="00BF2C5D"/>
    <w:rsid w:val="00BF31E3"/>
    <w:rsid w:val="00BF6985"/>
    <w:rsid w:val="00BF7EFB"/>
    <w:rsid w:val="00C06E4E"/>
    <w:rsid w:val="00C07731"/>
    <w:rsid w:val="00C11436"/>
    <w:rsid w:val="00C218A9"/>
    <w:rsid w:val="00C25FFC"/>
    <w:rsid w:val="00C314D2"/>
    <w:rsid w:val="00C3522B"/>
    <w:rsid w:val="00C415AB"/>
    <w:rsid w:val="00C452CB"/>
    <w:rsid w:val="00C45797"/>
    <w:rsid w:val="00C46000"/>
    <w:rsid w:val="00C47DAE"/>
    <w:rsid w:val="00C47EE0"/>
    <w:rsid w:val="00C51BB1"/>
    <w:rsid w:val="00C63006"/>
    <w:rsid w:val="00C64EA3"/>
    <w:rsid w:val="00C66145"/>
    <w:rsid w:val="00C6716F"/>
    <w:rsid w:val="00C67568"/>
    <w:rsid w:val="00C71871"/>
    <w:rsid w:val="00C7519D"/>
    <w:rsid w:val="00C86460"/>
    <w:rsid w:val="00C913B6"/>
    <w:rsid w:val="00C93DBC"/>
    <w:rsid w:val="00C9499E"/>
    <w:rsid w:val="00CA06D8"/>
    <w:rsid w:val="00CA6B02"/>
    <w:rsid w:val="00CA6EA3"/>
    <w:rsid w:val="00CB15A7"/>
    <w:rsid w:val="00CC77F1"/>
    <w:rsid w:val="00CD192C"/>
    <w:rsid w:val="00CD355C"/>
    <w:rsid w:val="00CD4804"/>
    <w:rsid w:val="00CE0C9D"/>
    <w:rsid w:val="00CF482C"/>
    <w:rsid w:val="00D029C0"/>
    <w:rsid w:val="00D100FB"/>
    <w:rsid w:val="00D12AF3"/>
    <w:rsid w:val="00D23CDC"/>
    <w:rsid w:val="00D268EB"/>
    <w:rsid w:val="00D274C6"/>
    <w:rsid w:val="00D30617"/>
    <w:rsid w:val="00D330A2"/>
    <w:rsid w:val="00D36652"/>
    <w:rsid w:val="00D36B77"/>
    <w:rsid w:val="00D430D9"/>
    <w:rsid w:val="00D456D8"/>
    <w:rsid w:val="00D45A0E"/>
    <w:rsid w:val="00D4758C"/>
    <w:rsid w:val="00D540F6"/>
    <w:rsid w:val="00D56786"/>
    <w:rsid w:val="00D60C8C"/>
    <w:rsid w:val="00D61EAB"/>
    <w:rsid w:val="00D701D3"/>
    <w:rsid w:val="00D7445F"/>
    <w:rsid w:val="00D76AD9"/>
    <w:rsid w:val="00D76B3C"/>
    <w:rsid w:val="00D81533"/>
    <w:rsid w:val="00D83A71"/>
    <w:rsid w:val="00D87B02"/>
    <w:rsid w:val="00D92B1D"/>
    <w:rsid w:val="00DA3C1D"/>
    <w:rsid w:val="00DB0928"/>
    <w:rsid w:val="00DB6F72"/>
    <w:rsid w:val="00DC0E31"/>
    <w:rsid w:val="00DC0E57"/>
    <w:rsid w:val="00DC70D0"/>
    <w:rsid w:val="00DC7DD6"/>
    <w:rsid w:val="00DD4FE6"/>
    <w:rsid w:val="00DE58FA"/>
    <w:rsid w:val="00DE5C8D"/>
    <w:rsid w:val="00DE662C"/>
    <w:rsid w:val="00DE7711"/>
    <w:rsid w:val="00DF13AD"/>
    <w:rsid w:val="00DF6137"/>
    <w:rsid w:val="00E03CCA"/>
    <w:rsid w:val="00E05A7B"/>
    <w:rsid w:val="00E13146"/>
    <w:rsid w:val="00E14FE2"/>
    <w:rsid w:val="00E174FC"/>
    <w:rsid w:val="00E20070"/>
    <w:rsid w:val="00E20994"/>
    <w:rsid w:val="00E20B90"/>
    <w:rsid w:val="00E22124"/>
    <w:rsid w:val="00E261AD"/>
    <w:rsid w:val="00E324C0"/>
    <w:rsid w:val="00E37838"/>
    <w:rsid w:val="00E40344"/>
    <w:rsid w:val="00E45351"/>
    <w:rsid w:val="00E54E21"/>
    <w:rsid w:val="00E576BD"/>
    <w:rsid w:val="00E57BE9"/>
    <w:rsid w:val="00E61B9C"/>
    <w:rsid w:val="00E663A6"/>
    <w:rsid w:val="00E664F4"/>
    <w:rsid w:val="00E67086"/>
    <w:rsid w:val="00E857E4"/>
    <w:rsid w:val="00E85B05"/>
    <w:rsid w:val="00E86E4D"/>
    <w:rsid w:val="00E9139D"/>
    <w:rsid w:val="00E92487"/>
    <w:rsid w:val="00EA230F"/>
    <w:rsid w:val="00EA3B02"/>
    <w:rsid w:val="00EA491B"/>
    <w:rsid w:val="00EA5A59"/>
    <w:rsid w:val="00EB3301"/>
    <w:rsid w:val="00EC2D9F"/>
    <w:rsid w:val="00EC3464"/>
    <w:rsid w:val="00ED3375"/>
    <w:rsid w:val="00EE3077"/>
    <w:rsid w:val="00EE4A18"/>
    <w:rsid w:val="00EF54A5"/>
    <w:rsid w:val="00EF61D1"/>
    <w:rsid w:val="00EF7466"/>
    <w:rsid w:val="00F03579"/>
    <w:rsid w:val="00F148FE"/>
    <w:rsid w:val="00F154D0"/>
    <w:rsid w:val="00F1674C"/>
    <w:rsid w:val="00F261D6"/>
    <w:rsid w:val="00F26DCC"/>
    <w:rsid w:val="00F33B86"/>
    <w:rsid w:val="00F350AF"/>
    <w:rsid w:val="00F35911"/>
    <w:rsid w:val="00F377FF"/>
    <w:rsid w:val="00F41E7B"/>
    <w:rsid w:val="00F42D43"/>
    <w:rsid w:val="00F459E5"/>
    <w:rsid w:val="00F5591D"/>
    <w:rsid w:val="00F56287"/>
    <w:rsid w:val="00F57965"/>
    <w:rsid w:val="00F57B33"/>
    <w:rsid w:val="00F616D8"/>
    <w:rsid w:val="00F72B1B"/>
    <w:rsid w:val="00F77E12"/>
    <w:rsid w:val="00F814DE"/>
    <w:rsid w:val="00F859D4"/>
    <w:rsid w:val="00F90045"/>
    <w:rsid w:val="00F925FE"/>
    <w:rsid w:val="00FA1378"/>
    <w:rsid w:val="00FA156F"/>
    <w:rsid w:val="00FA28D1"/>
    <w:rsid w:val="00FA5D82"/>
    <w:rsid w:val="00FA6558"/>
    <w:rsid w:val="00FA72F0"/>
    <w:rsid w:val="00FB0655"/>
    <w:rsid w:val="00FD489B"/>
    <w:rsid w:val="00FD530D"/>
    <w:rsid w:val="00FE0217"/>
    <w:rsid w:val="00FE4C4C"/>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cs="Times New Roman"/>
      <w:b/>
      <w:i/>
      <w:sz w:val="28"/>
      <w:szCs w:val="20"/>
    </w:rPr>
  </w:style>
  <w:style w:type="character" w:customStyle="1" w:styleId="Heading3Char">
    <w:name w:val="Heading 3 Char"/>
    <w:link w:val="Heading3"/>
    <w:rsid w:val="00424124"/>
    <w:rPr>
      <w:rFonts w:ascii="Arial" w:eastAsia="Times New Roman" w:hAnsi="Arial" w:cs="Times New Roman"/>
      <w:b/>
      <w:sz w:val="24"/>
      <w:szCs w:val="20"/>
    </w:rPr>
  </w:style>
  <w:style w:type="character" w:customStyle="1" w:styleId="Heading4Char">
    <w:name w:val="Heading 4 Char"/>
    <w:aliases w:val="H4 Char"/>
    <w:link w:val="Heading4"/>
    <w:rsid w:val="00424124"/>
    <w:rPr>
      <w:rFonts w:ascii="Arial" w:eastAsia="Times New Roman" w:hAnsi="Arial" w:cs="Times New Roman"/>
      <w:b/>
      <w:sz w:val="24"/>
      <w:szCs w:val="24"/>
    </w:rPr>
  </w:style>
  <w:style w:type="character" w:customStyle="1" w:styleId="Heading5Char">
    <w:name w:val="Heading 5 Char"/>
    <w:aliases w:val="h5 Char"/>
    <w:link w:val="Heading5"/>
    <w:rsid w:val="00424124"/>
    <w:rPr>
      <w:rFonts w:ascii="Arial" w:eastAsia="Times New Roman" w:hAnsi="Arial" w:cs="Times New Roman"/>
      <w:sz w:val="20"/>
      <w:szCs w:val="20"/>
    </w:rPr>
  </w:style>
  <w:style w:type="character" w:customStyle="1" w:styleId="Heading6Char">
    <w:name w:val="Heading 6 Char"/>
    <w:aliases w:val="figure Char,h6 Char"/>
    <w:link w:val="Heading6"/>
    <w:rsid w:val="00424124"/>
    <w:rPr>
      <w:rFonts w:ascii="Arial" w:eastAsia="Times New Roman" w:hAnsi="Arial" w:cs="Times New Roman"/>
      <w:i/>
      <w:sz w:val="20"/>
      <w:szCs w:val="20"/>
    </w:rPr>
  </w:style>
  <w:style w:type="character" w:customStyle="1" w:styleId="Heading7Char">
    <w:name w:val="Heading 7 Char"/>
    <w:aliases w:val="table Char,st Char,h7 Char"/>
    <w:link w:val="Heading7"/>
    <w:rsid w:val="00424124"/>
    <w:rPr>
      <w:rFonts w:ascii="Arial" w:eastAsia="Times New Roman" w:hAnsi="Arial" w:cs="Times New Roman"/>
      <w:sz w:val="20"/>
      <w:szCs w:val="20"/>
    </w:rPr>
  </w:style>
  <w:style w:type="character" w:customStyle="1" w:styleId="Heading8Char">
    <w:name w:val="Heading 8 Char"/>
    <w:aliases w:val="acronym Char"/>
    <w:link w:val="Heading8"/>
    <w:rsid w:val="00424124"/>
    <w:rPr>
      <w:rFonts w:ascii="Arial" w:eastAsia="Times New Roman" w:hAnsi="Arial" w:cs="Times New Roman"/>
      <w:i/>
      <w:sz w:val="20"/>
      <w:szCs w:val="20"/>
    </w:rPr>
  </w:style>
  <w:style w:type="character" w:customStyle="1" w:styleId="Heading9Char">
    <w:name w:val="Heading 9 Char"/>
    <w:aliases w:val="appendix Char"/>
    <w:link w:val="Heading9"/>
    <w:rsid w:val="00424124"/>
    <w:rPr>
      <w:rFonts w:ascii="Arial" w:eastAsia="Times New Roman" w:hAnsi="Arial" w:cs="Times New Roman"/>
      <w:b/>
      <w:i/>
      <w:sz w:val="18"/>
      <w:szCs w:val="20"/>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F0360-0676-4CB6-BE7B-441352E53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993</Words>
  <Characters>5665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2017-06-14T20:38:00Z</dcterms:created>
  <dcterms:modified xsi:type="dcterms:W3CDTF">2017-08-10T18:58:00Z</dcterms:modified>
</cp:coreProperties>
</file>